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58" w:rsidRDefault="009D71E8" w14:paraId="2A7D54B1" w14:textId="1FABEEC5">
      <w:pPr>
        <w:pStyle w:val="Heading1"/>
      </w:pPr>
      <w:bookmarkStart w:name="_Toc400361362" w:id="0"/>
      <w:bookmarkStart w:name="_Toc443397153" w:id="1"/>
      <w:bookmarkStart w:name="_Toc357771638" w:id="2"/>
      <w:bookmarkStart w:name="_Toc346793416" w:id="3"/>
      <w:bookmarkStart w:name="_Toc328122777" w:id="4"/>
      <w:r>
        <w:t>Pupil premium strategy statement</w:t>
      </w:r>
      <w:bookmarkStart w:name="_Toc338167830" w:id="5"/>
      <w:bookmarkStart w:name="_Toc361136403" w:id="6"/>
      <w:bookmarkStart w:name="_Toc364235708" w:id="7"/>
      <w:bookmarkStart w:name="_Toc364235752" w:id="8"/>
      <w:bookmarkStart w:name="_Toc364235834" w:id="9"/>
      <w:bookmarkStart w:name="_Toc364840099" w:id="10"/>
      <w:bookmarkStart w:name="_Toc364864309" w:id="11"/>
      <w:bookmarkStart w:name="_Toc400361364" w:id="12"/>
      <w:bookmarkStart w:name="_Toc443397154" w:id="13"/>
      <w:bookmarkEnd w:id="0"/>
      <w:bookmarkEnd w:id="1"/>
    </w:p>
    <w:p w:rsidR="00E66558" w:rsidP="7D098920" w:rsidRDefault="009D71E8" w14:paraId="2A7D54B2" w14:textId="19671BD6">
      <w:pPr>
        <w:pStyle w:val="Heading2"/>
        <w:rPr>
          <w:b w:val="0"/>
          <w:color w:val="auto"/>
          <w:sz w:val="24"/>
          <w:szCs w:val="24"/>
        </w:rPr>
      </w:pPr>
      <w:r w:rsidRPr="7D098920">
        <w:rPr>
          <w:b w:val="0"/>
          <w:color w:val="auto"/>
          <w:sz w:val="24"/>
          <w:szCs w:val="24"/>
        </w:rPr>
        <w:t xml:space="preserve">This statement details our school’s use of pupil premium 2022- 2023 funding to help improve the attainment of our disadvantaged pupils. </w:t>
      </w:r>
    </w:p>
    <w:p w:rsidR="00E66558" w:rsidRDefault="009D71E8" w14:paraId="2A7D54B3" w14:textId="77777777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:rsidR="00E66558" w:rsidRDefault="009D71E8" w14:paraId="2A7D54B4" w14:textId="3D693003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Tr="040DAD7E" w14:paraId="2A7D54B7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B5" w14:textId="77777777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B6" w14:textId="77777777">
            <w:pPr>
              <w:pStyle w:val="TableHeader"/>
              <w:jc w:val="left"/>
            </w:pPr>
            <w:r>
              <w:t>Data</w:t>
            </w:r>
          </w:p>
        </w:tc>
      </w:tr>
      <w:tr w:rsidRPr="00E27862" w:rsidR="00E27862" w:rsidTr="040DAD7E" w14:paraId="2A7D54BA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B8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School name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56651D" w14:paraId="2A7D54B9" w14:textId="3892528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Thameside Primary School</w:t>
            </w:r>
          </w:p>
        </w:tc>
      </w:tr>
      <w:tr w:rsidRPr="00E27862" w:rsidR="00E27862" w:rsidTr="040DAD7E" w14:paraId="2A7D54BD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BB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 xml:space="preserve">Number of pupils in school 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E66558" w14:paraId="2A7D54BC" w14:textId="7FB7172C">
            <w:pPr>
              <w:pStyle w:val="TableRow"/>
              <w:rPr>
                <w:color w:val="auto"/>
              </w:rPr>
            </w:pPr>
            <w:r w:rsidRPr="040DAD7E" w:rsidR="2A492022">
              <w:rPr>
                <w:color w:val="auto"/>
              </w:rPr>
              <w:t>841</w:t>
            </w:r>
          </w:p>
        </w:tc>
      </w:tr>
      <w:tr w:rsidRPr="00E27862" w:rsidR="00E27862" w:rsidTr="040DAD7E" w14:paraId="2A7D54C0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BE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Proportion (%) of pupil premium eligible pupils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E66558" w14:paraId="2A7D54BF" w14:textId="7F6B3DD4">
            <w:pPr>
              <w:pStyle w:val="TableRow"/>
              <w:rPr>
                <w:color w:val="auto"/>
              </w:rPr>
            </w:pPr>
            <w:r w:rsidRPr="040DAD7E" w:rsidR="4D2C5506">
              <w:rPr>
                <w:color w:val="auto"/>
              </w:rPr>
              <w:t>29%     (243)</w:t>
            </w:r>
          </w:p>
        </w:tc>
      </w:tr>
      <w:tr w:rsidRPr="00E27862" w:rsidR="00E27862" w:rsidTr="040DAD7E" w14:paraId="2A7D54C3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P="00DC649D" w:rsidRDefault="009D71E8" w14:paraId="2A7D54C1" w14:textId="21BF27DE">
            <w:pPr>
              <w:pStyle w:val="TableRow"/>
              <w:rPr>
                <w:color w:val="auto"/>
                <w:szCs w:val="22"/>
              </w:rPr>
            </w:pPr>
            <w:r w:rsidRPr="00E27862">
              <w:rPr>
                <w:color w:val="auto"/>
                <w:szCs w:val="22"/>
              </w:rPr>
              <w:t xml:space="preserve">Academic year/years that our current pupil premium strategy plan covers </w:t>
            </w:r>
            <w:r w:rsidRPr="00E27862">
              <w:rPr>
                <w:b/>
                <w:bCs/>
                <w:color w:val="auto"/>
                <w:szCs w:val="22"/>
              </w:rPr>
              <w:t>(3 year plans are recommended)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E66558" w14:paraId="2A7D54C2" w14:textId="586C2C60">
            <w:pPr>
              <w:pStyle w:val="TableRow"/>
              <w:rPr>
                <w:color w:val="auto"/>
              </w:rPr>
            </w:pPr>
            <w:r w:rsidRPr="040DAD7E" w:rsidR="3F997D51">
              <w:rPr>
                <w:color w:val="auto"/>
              </w:rPr>
              <w:t>2022-23</w:t>
            </w:r>
          </w:p>
        </w:tc>
      </w:tr>
      <w:tr w:rsidRPr="00E27862" w:rsidR="00E27862" w:rsidTr="040DAD7E" w14:paraId="2A7D54C6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C4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A52ECB" w14:paraId="2A7D54C5" w14:textId="2168030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 xml:space="preserve">September </w:t>
            </w:r>
            <w:bookmarkStart w:name="_GoBack" w:id="14"/>
            <w:bookmarkEnd w:id="14"/>
            <w:r w:rsidR="0056651D">
              <w:rPr>
                <w:color w:val="auto"/>
              </w:rPr>
              <w:t>2022</w:t>
            </w:r>
          </w:p>
        </w:tc>
      </w:tr>
      <w:tr w:rsidRPr="00E27862" w:rsidR="00E27862" w:rsidTr="040DAD7E" w14:paraId="2A7D54C9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C7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56651D" w14:paraId="2A7D54C8" w14:textId="24E5FF70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July 2023</w:t>
            </w:r>
          </w:p>
        </w:tc>
      </w:tr>
      <w:bookmarkEnd w:id="2"/>
      <w:bookmarkEnd w:id="3"/>
      <w:bookmarkEnd w:id="4"/>
      <w:tr w:rsidRPr="00E27862" w:rsidR="00E27862" w:rsidTr="040DAD7E" w14:paraId="2A7D54DF" w14:textId="77777777">
        <w:trPr>
          <w:trHeight w:val="374"/>
        </w:trPr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27862" w:rsidR="00E66558" w:rsidP="0056651D" w:rsidRDefault="009D71E8" w14:paraId="2A7D54DD" w14:textId="77777777">
            <w:pPr>
              <w:pStyle w:val="TableRow"/>
              <w:ind w:left="0"/>
              <w:rPr>
                <w:color w:val="auto"/>
              </w:rPr>
            </w:pPr>
            <w:r w:rsidRPr="00E27862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E66558" w14:paraId="2A7D54DE" w14:textId="34ED70AD">
            <w:pPr>
              <w:pStyle w:val="TableRow"/>
              <w:rPr>
                <w:color w:val="auto"/>
              </w:rPr>
            </w:pPr>
          </w:p>
        </w:tc>
      </w:tr>
      <w:tr w:rsidRPr="00E27862" w:rsidR="00E27862" w:rsidTr="040DAD7E" w14:paraId="2A7D54E3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9D71E8" w14:paraId="2A7D54E0" w14:textId="77777777">
            <w:pPr>
              <w:pStyle w:val="TableRow"/>
              <w:rPr>
                <w:b/>
                <w:color w:val="auto"/>
              </w:rPr>
            </w:pPr>
            <w:r w:rsidRPr="00E27862">
              <w:rPr>
                <w:b/>
                <w:color w:val="auto"/>
              </w:rPr>
              <w:t>Total budget for this academic year</w:t>
            </w:r>
          </w:p>
          <w:p w:rsidRPr="00E27862" w:rsidR="00E66558" w:rsidRDefault="009D71E8" w14:paraId="2A7D54E1" w14:textId="77777777">
            <w:pPr>
              <w:pStyle w:val="TableRow"/>
              <w:rPr>
                <w:color w:val="auto"/>
              </w:rPr>
            </w:pPr>
            <w:r w:rsidRPr="00E27862">
              <w:rPr>
                <w:color w:val="auto"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E66558" w14:paraId="2A7D54E2" w14:textId="775BD792">
            <w:pPr>
              <w:pStyle w:val="TableRow"/>
              <w:rPr>
                <w:color w:val="auto"/>
              </w:rPr>
            </w:pPr>
            <w:r w:rsidRPr="040DAD7E" w:rsidR="19098BA8">
              <w:rPr>
                <w:color w:val="auto"/>
              </w:rPr>
              <w:t>£370,260</w:t>
            </w:r>
          </w:p>
        </w:tc>
      </w:tr>
    </w:tbl>
    <w:p w:rsidR="00E66558" w:rsidRDefault="009D71E8" w14:paraId="2A7D54E4" w14:textId="77777777">
      <w:pPr>
        <w:pStyle w:val="Heading1"/>
      </w:pPr>
      <w:r>
        <w:lastRenderedPageBreak/>
        <w:t>Part A: Pupil premium strategy plan</w:t>
      </w:r>
    </w:p>
    <w:p w:rsidR="00E66558" w:rsidRDefault="009D71E8" w14:paraId="2A7D54E5" w14:textId="77777777">
      <w:pPr>
        <w:pStyle w:val="Heading2"/>
      </w:pPr>
      <w:bookmarkStart w:name="_Toc357771640" w:id="15"/>
      <w:bookmarkStart w:name="_Toc346793418" w:id="16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C07F5E" w:rsidP="00840E17" w:rsidRDefault="00C009DA" w14:paraId="37BDA952" w14:textId="77777777">
            <w:pPr>
              <w:spacing w:before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</w:rPr>
              <w:t xml:space="preserve">Our intention is that all pupils, irrespective of their background or the challenges they face, make good progress and achieve high attainment across all subject areas. </w:t>
            </w:r>
            <w:r w:rsidRPr="00E27862" w:rsidR="00742FDB">
              <w:rPr>
                <w:rFonts w:cs="Arial"/>
                <w:iCs/>
                <w:color w:val="auto"/>
                <w:lang w:val="en-US"/>
              </w:rPr>
              <w:t xml:space="preserve">The focus of our pupil premium strategy is to support disadvantaged pupils to achieve that goal, including progress for those who are already high attainers. </w:t>
            </w:r>
          </w:p>
          <w:p w:rsidRPr="00E27862" w:rsidR="00C009DA" w:rsidP="00C009DA" w:rsidRDefault="00B2739F" w14:paraId="3BAE372F" w14:textId="4F5FBF90">
            <w:pPr>
              <w:rPr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 xml:space="preserve">Quality First </w:t>
            </w:r>
            <w:r w:rsidRPr="00E27862" w:rsidR="00C009DA">
              <w:rPr>
                <w:rFonts w:cs="Arial"/>
                <w:iCs/>
                <w:color w:val="auto"/>
                <w:lang w:val="en-US"/>
              </w:rPr>
              <w:t>teaching is at the heart of our approach, with a focus on areas in which disadvantaged pupils require the most support</w:t>
            </w:r>
            <w:r>
              <w:rPr>
                <w:rFonts w:cs="Arial"/>
                <w:iCs/>
                <w:color w:val="auto"/>
                <w:lang w:val="en-US"/>
              </w:rPr>
              <w:t xml:space="preserve">. </w:t>
            </w:r>
            <w:r>
              <w:rPr>
                <w:iCs/>
                <w:color w:val="auto"/>
                <w:lang w:val="en-US"/>
              </w:rPr>
              <w:t>T</w:t>
            </w:r>
            <w:r w:rsidRPr="00E27862" w:rsidR="00C009DA">
              <w:rPr>
                <w:iCs/>
                <w:color w:val="auto"/>
                <w:lang w:val="en-US"/>
              </w:rPr>
              <w:t>he inte</w:t>
            </w:r>
            <w:r>
              <w:rPr>
                <w:iCs/>
                <w:color w:val="auto"/>
                <w:lang w:val="en-US"/>
              </w:rPr>
              <w:t xml:space="preserve">nded outcomes detailed below, illustrate </w:t>
            </w:r>
            <w:r w:rsidRPr="00E27862" w:rsidR="00C009DA">
              <w:rPr>
                <w:iCs/>
                <w:color w:val="auto"/>
                <w:lang w:val="en-US"/>
              </w:rPr>
              <w:t>the intention that non-disadvantaged pupils’ attainment will be sustained and improved alongside progress for their disadvantaged peers.</w:t>
            </w:r>
          </w:p>
          <w:p w:rsidRPr="00E27862" w:rsidR="00C009DA" w:rsidP="00102AAC" w:rsidRDefault="00C009DA" w14:paraId="65530BF5" w14:textId="70173538">
            <w:pPr>
              <w:spacing w:after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To ensure</w:t>
            </w:r>
            <w:r w:rsidR="00B2739F">
              <w:rPr>
                <w:rFonts w:cs="Arial"/>
                <w:iCs/>
                <w:color w:val="auto"/>
                <w:lang w:val="en-US"/>
              </w:rPr>
              <w:t xml:space="preserve"> provisions </w:t>
            </w:r>
            <w:r w:rsidRPr="00E27862">
              <w:rPr>
                <w:rFonts w:cs="Arial"/>
                <w:iCs/>
                <w:color w:val="auto"/>
                <w:lang w:val="en-US"/>
              </w:rPr>
              <w:t xml:space="preserve"> are effective we will:</w:t>
            </w:r>
          </w:p>
          <w:p w:rsidRPr="00E27862" w:rsidR="00C009DA" w:rsidP="00C009DA" w:rsidRDefault="00C009DA" w14:paraId="3DFEADF7" w14:textId="77777777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ensure disadvantaged pupils are challenged in the work that they’re set</w:t>
            </w:r>
          </w:p>
          <w:p w:rsidRPr="00E27862" w:rsidR="00C009DA" w:rsidP="00C009DA" w:rsidRDefault="00C009DA" w14:paraId="6E64AF26" w14:textId="77777777">
            <w:pPr>
              <w:numPr>
                <w:ilvl w:val="0"/>
                <w:numId w:val="15"/>
              </w:numPr>
              <w:suppressAutoHyphens w:val="0"/>
              <w:autoSpaceDN/>
              <w:contextualSpacing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color w:val="auto"/>
              </w:rPr>
              <w:t>act early to intervene at the point need is identified</w:t>
            </w:r>
          </w:p>
          <w:p w:rsidRPr="00C009DA" w:rsidR="008C6667" w:rsidP="00C009DA" w:rsidRDefault="00C009DA" w14:paraId="2A7D54E9" w14:textId="28795300">
            <w:pPr>
              <w:numPr>
                <w:ilvl w:val="0"/>
                <w:numId w:val="15"/>
              </w:numPr>
              <w:suppressAutoHyphens w:val="0"/>
              <w:autoSpaceDN/>
              <w:ind w:left="714" w:hanging="357"/>
              <w:rPr>
                <w:rFonts w:cs="Arial"/>
                <w:iCs/>
                <w:color w:val="0070C0"/>
                <w:lang w:val="en-US"/>
              </w:rPr>
            </w:pPr>
            <w:r w:rsidRPr="00E27862">
              <w:rPr>
                <w:rFonts w:cs="Arial"/>
                <w:color w:val="auto"/>
              </w:rPr>
              <w:t>adopt a whole school approach in which all staff take responsibility for disadvantaged pupils’ outcomes and raise expectations of what they can achieve</w:t>
            </w:r>
          </w:p>
        </w:tc>
      </w:tr>
    </w:tbl>
    <w:p w:rsidR="00E66558" w:rsidRDefault="009D71E8" w14:paraId="2A7D54EB" w14:textId="5AC44390">
      <w:pPr>
        <w:pStyle w:val="Heading2"/>
        <w:spacing w:before="600"/>
      </w:pPr>
      <w:r>
        <w:t>Challenges</w:t>
      </w:r>
    </w:p>
    <w:p w:rsidR="00E66558" w:rsidRDefault="009D71E8" w14:paraId="2A7D54EC" w14:textId="77777777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Tr="040DAD7E" w14:paraId="2A7D54EF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ED" w14:textId="77777777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EE" w14:textId="77777777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:rsidTr="040DAD7E" w14:paraId="2A7D54F2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0" w14:textId="77777777">
            <w:pPr>
              <w:pStyle w:val="TableRow"/>
              <w:rPr>
                <w:sz w:val="22"/>
                <w:szCs w:val="22"/>
              </w:rPr>
            </w:pPr>
            <w:r w:rsidRPr="00DD41C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P="7D098920" w:rsidRDefault="20450B34" w14:paraId="2A7D54F1" w14:textId="5BDBA192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Pr="7D098920">
              <w:rPr>
                <w:rFonts w:cs="Arial"/>
                <w:color w:val="auto"/>
                <w:lang w:val="en-US"/>
              </w:rPr>
              <w:t>A</w:t>
            </w:r>
            <w:r w:rsidRPr="7D098920" w:rsidR="25CB58FF">
              <w:rPr>
                <w:rFonts w:cs="Arial"/>
                <w:color w:val="auto"/>
                <w:lang w:val="en-US"/>
              </w:rPr>
              <w:t>s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sessments, </w:t>
            </w:r>
            <w:r w:rsidRPr="7D098920" w:rsidR="248DE17E">
              <w:rPr>
                <w:rFonts w:cs="Arial"/>
                <w:color w:val="auto"/>
                <w:lang w:val="en-US"/>
              </w:rPr>
              <w:t>observations,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 </w:t>
            </w:r>
            <w:r w:rsidRPr="7D098920" w:rsidR="58B2BFEE">
              <w:rPr>
                <w:rFonts w:cs="Arial"/>
                <w:color w:val="auto"/>
                <w:lang w:val="en-US"/>
              </w:rPr>
              <w:t xml:space="preserve">and discussions </w:t>
            </w:r>
            <w:r w:rsidRPr="7D098920" w:rsidR="245D915B">
              <w:rPr>
                <w:rFonts w:cs="Arial"/>
                <w:color w:val="auto"/>
                <w:lang w:val="en-US"/>
              </w:rPr>
              <w:t>with pupils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 </w:t>
            </w:r>
            <w:r w:rsidRPr="7D098920" w:rsidR="128607D6">
              <w:rPr>
                <w:rFonts w:cs="Arial"/>
                <w:color w:val="auto"/>
                <w:lang w:val="en-US"/>
              </w:rPr>
              <w:t>indicate</w:t>
            </w:r>
            <w:r w:rsidRPr="7D098920" w:rsidR="7BBFDD4F">
              <w:rPr>
                <w:rFonts w:cs="Arial"/>
                <w:color w:val="auto"/>
                <w:lang w:val="en-US"/>
              </w:rPr>
              <w:t xml:space="preserve"> 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underdeveloped oral language </w:t>
            </w:r>
            <w:r w:rsidRPr="7D098920" w:rsidR="128607D6">
              <w:rPr>
                <w:rFonts w:cs="Arial"/>
                <w:color w:val="auto"/>
                <w:lang w:val="en-US"/>
              </w:rPr>
              <w:t xml:space="preserve">skills 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and vocabulary </w:t>
            </w:r>
            <w:r w:rsidRPr="7D098920" w:rsidR="7226595F">
              <w:rPr>
                <w:rFonts w:cs="Arial"/>
                <w:color w:val="auto"/>
                <w:lang w:val="en-US"/>
              </w:rPr>
              <w:t>gaps among many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 disadvantaged pupils</w:t>
            </w:r>
            <w:r w:rsidRPr="7D098920" w:rsidR="3A1E8DE3">
              <w:rPr>
                <w:rFonts w:cs="Arial"/>
                <w:color w:val="auto"/>
                <w:lang w:val="en-US"/>
              </w:rPr>
              <w:t xml:space="preserve">. These are evident 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from </w:t>
            </w:r>
            <w:r w:rsidRPr="7D098920" w:rsidR="7E310C9A">
              <w:rPr>
                <w:rFonts w:cs="Arial"/>
                <w:color w:val="auto"/>
                <w:lang w:val="en-US"/>
              </w:rPr>
              <w:t>Reception</w:t>
            </w:r>
            <w:r w:rsidRPr="7D098920" w:rsidR="7517B044">
              <w:rPr>
                <w:rFonts w:cs="Arial"/>
                <w:color w:val="auto"/>
                <w:lang w:val="en-US"/>
              </w:rPr>
              <w:t xml:space="preserve"> through to KS</w:t>
            </w:r>
            <w:r w:rsidRPr="7D098920" w:rsidR="3A1E8DE3">
              <w:rPr>
                <w:rFonts w:cs="Arial"/>
                <w:color w:val="auto"/>
                <w:lang w:val="en-US"/>
              </w:rPr>
              <w:t xml:space="preserve">2 </w:t>
            </w:r>
          </w:p>
        </w:tc>
      </w:tr>
      <w:tr w:rsidR="00E66558" w:rsidTr="040DAD7E" w14:paraId="2A7D54F5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253F8" w:rsidR="00E66558" w:rsidRDefault="009D71E8" w14:paraId="2A7D54F3" w14:textId="77777777">
            <w:pPr>
              <w:pStyle w:val="TableRow"/>
              <w:rPr>
                <w:sz w:val="22"/>
                <w:szCs w:val="22"/>
              </w:rPr>
            </w:pPr>
            <w:r w:rsidRPr="003253F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P="553D8BA6" w:rsidRDefault="5B509BD2" w14:paraId="2A7D54F4" w14:textId="51C7D88A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lang w:val="en-US"/>
              </w:rPr>
            </w:pPr>
            <w:r w:rsidRPr="00E27862">
              <w:rPr>
                <w:color w:val="auto"/>
                <w:lang w:val="en-US"/>
              </w:rPr>
              <w:t>A</w:t>
            </w:r>
            <w:r w:rsidRPr="00E27862" w:rsidR="622873F7">
              <w:rPr>
                <w:color w:val="auto"/>
                <w:lang w:val="en-US"/>
              </w:rPr>
              <w:t xml:space="preserve">ssessments, </w:t>
            </w:r>
            <w:r w:rsidRPr="00E27862" w:rsidR="1FA3496F">
              <w:rPr>
                <w:color w:val="auto"/>
                <w:lang w:val="en-US"/>
              </w:rPr>
              <w:t>observations,</w:t>
            </w:r>
            <w:r w:rsidRPr="00E27862" w:rsidR="622873F7">
              <w:rPr>
                <w:color w:val="auto"/>
                <w:lang w:val="en-US"/>
              </w:rPr>
              <w:t xml:space="preserve"> and discussions with pupils</w:t>
            </w:r>
            <w:r w:rsidRPr="00E27862" w:rsidR="5EC57588">
              <w:rPr>
                <w:color w:val="auto"/>
                <w:lang w:val="en-US"/>
              </w:rPr>
              <w:t xml:space="preserve"> s</w:t>
            </w:r>
            <w:r w:rsidRPr="00E27862" w:rsidR="672D04CF">
              <w:rPr>
                <w:color w:val="auto"/>
                <w:lang w:val="en-US"/>
              </w:rPr>
              <w:t>uggest</w:t>
            </w:r>
            <w:r w:rsidRPr="00E27862" w:rsidR="5EC57588">
              <w:rPr>
                <w:color w:val="auto"/>
                <w:lang w:val="en-US"/>
              </w:rPr>
              <w:t xml:space="preserve"> </w:t>
            </w:r>
            <w:r w:rsidRPr="00E27862" w:rsidR="2A92CF0D">
              <w:rPr>
                <w:color w:val="auto"/>
                <w:lang w:val="en-US"/>
              </w:rPr>
              <w:t>dis</w:t>
            </w:r>
            <w:r w:rsidRPr="00E27862" w:rsidR="5EC57588">
              <w:rPr>
                <w:color w:val="auto"/>
                <w:lang w:val="en-US"/>
              </w:rPr>
              <w:t>advantaged pupils</w:t>
            </w:r>
            <w:r w:rsidRPr="00E27862" w:rsidR="6C61CAE2">
              <w:rPr>
                <w:color w:val="auto"/>
                <w:lang w:val="en-US"/>
              </w:rPr>
              <w:t xml:space="preserve"> </w:t>
            </w:r>
            <w:r w:rsidRPr="00E27862" w:rsidR="0F22852E">
              <w:rPr>
                <w:color w:val="auto"/>
                <w:lang w:val="en-US"/>
              </w:rPr>
              <w:t xml:space="preserve">generally </w:t>
            </w:r>
            <w:r w:rsidRPr="00E27862" w:rsidR="0A9BA0B0">
              <w:rPr>
                <w:color w:val="auto"/>
                <w:lang w:val="en-US"/>
              </w:rPr>
              <w:t>have greater difficulties with</w:t>
            </w:r>
            <w:r w:rsidRPr="00E27862" w:rsidR="5EC57588">
              <w:rPr>
                <w:color w:val="auto"/>
                <w:lang w:val="en-US"/>
              </w:rPr>
              <w:t xml:space="preserve"> phonics</w:t>
            </w:r>
            <w:r w:rsidRPr="00E27862" w:rsidR="6C61CAE2">
              <w:rPr>
                <w:color w:val="auto"/>
                <w:lang w:val="en-US"/>
              </w:rPr>
              <w:t xml:space="preserve"> than their peer</w:t>
            </w:r>
            <w:r w:rsidRPr="00E27862" w:rsidR="7E36FCC8">
              <w:rPr>
                <w:color w:val="auto"/>
                <w:lang w:val="en-US"/>
              </w:rPr>
              <w:t xml:space="preserve">s. </w:t>
            </w:r>
            <w:r w:rsidRPr="00E27862" w:rsidR="06628302">
              <w:rPr>
                <w:color w:val="auto"/>
                <w:lang w:val="en-US"/>
              </w:rPr>
              <w:t>This</w:t>
            </w:r>
            <w:r w:rsidRPr="00E27862" w:rsidR="5C827F8F">
              <w:rPr>
                <w:color w:val="auto"/>
                <w:lang w:val="en-US"/>
              </w:rPr>
              <w:t xml:space="preserve"> negatively </w:t>
            </w:r>
            <w:r w:rsidRPr="00E27862" w:rsidR="5EC57588">
              <w:rPr>
                <w:color w:val="auto"/>
                <w:lang w:val="en-US"/>
              </w:rPr>
              <w:t>impact</w:t>
            </w:r>
            <w:r w:rsidRPr="00E27862" w:rsidR="5C827F8F">
              <w:rPr>
                <w:color w:val="auto"/>
                <w:lang w:val="en-US"/>
              </w:rPr>
              <w:t>s</w:t>
            </w:r>
            <w:r w:rsidRPr="00E27862" w:rsidR="5EC57588">
              <w:rPr>
                <w:color w:val="auto"/>
                <w:lang w:val="en-US"/>
              </w:rPr>
              <w:t xml:space="preserve"> their development as readers.</w:t>
            </w:r>
            <w:r w:rsidRPr="00E27862" w:rsidR="5C827F8F">
              <w:rPr>
                <w:color w:val="auto"/>
                <w:lang w:val="en-US"/>
              </w:rPr>
              <w:t xml:space="preserve"> </w:t>
            </w:r>
          </w:p>
        </w:tc>
      </w:tr>
      <w:tr w:rsidR="00E66558" w:rsidTr="040DAD7E" w14:paraId="2A7D54FB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0251" w:rsidR="00E66558" w:rsidRDefault="7D098920" w14:paraId="2A7D54F9" w14:textId="6F306372">
            <w:pPr>
              <w:pStyle w:val="TableRow"/>
              <w:rPr>
                <w:sz w:val="22"/>
                <w:szCs w:val="22"/>
              </w:rPr>
            </w:pPr>
            <w:r w:rsidRPr="7D098920"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2739F" w:rsidR="00660FD3" w:rsidP="69F9CB17" w:rsidRDefault="434C96D6" w14:paraId="1BE13A39" w14:textId="3A18467C">
            <w:pPr>
              <w:suppressAutoHyphens w:val="0"/>
              <w:autoSpaceDN/>
              <w:spacing w:before="6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Pr="040DAD7E" w:rsidR="25F8282D">
              <w:rPr>
                <w:rFonts w:cs="Arial"/>
                <w:color w:val="auto"/>
                <w:lang w:val="en-US"/>
              </w:rPr>
              <w:t>T</w:t>
            </w:r>
            <w:r w:rsidRPr="040DAD7E" w:rsidR="2631E900">
              <w:rPr>
                <w:rFonts w:cs="Arial"/>
                <w:color w:val="auto"/>
                <w:lang w:val="en-US"/>
              </w:rPr>
              <w:t>eacher assessments,</w:t>
            </w:r>
            <w:r w:rsidRPr="040DAD7E" w:rsidR="25F8282D">
              <w:rPr>
                <w:rFonts w:cs="Arial"/>
                <w:color w:val="auto"/>
                <w:lang w:val="en-US"/>
              </w:rPr>
              <w:t xml:space="preserve"> pupil profiles</w:t>
            </w:r>
            <w:r w:rsidRPr="040DAD7E" w:rsidR="564225DF">
              <w:rPr>
                <w:rFonts w:cs="Arial"/>
                <w:color w:val="auto"/>
                <w:lang w:val="en-US"/>
              </w:rPr>
              <w:t xml:space="preserve"> and </w:t>
            </w:r>
            <w:r w:rsidRPr="040DAD7E" w:rsidR="25F8282D">
              <w:rPr>
                <w:rFonts w:cs="Arial"/>
                <w:color w:val="auto"/>
                <w:lang w:val="en-US"/>
              </w:rPr>
              <w:t xml:space="preserve"> </w:t>
            </w:r>
            <w:r w:rsidRPr="040DAD7E" w:rsidR="25F8282D">
              <w:rPr>
                <w:rFonts w:cs="Arial"/>
                <w:color w:val="auto"/>
                <w:lang w:val="en-US"/>
              </w:rPr>
              <w:t xml:space="preserve"> </w:t>
            </w:r>
            <w:r w:rsidRPr="040DAD7E" w:rsidR="7755664B">
              <w:rPr>
                <w:rFonts w:cs="Arial"/>
                <w:color w:val="auto"/>
                <w:lang w:val="en-US"/>
              </w:rPr>
              <w:t xml:space="preserve">discussions with pupils </w:t>
            </w:r>
            <w:r w:rsidRPr="040DAD7E" w:rsidR="08BF0209">
              <w:rPr>
                <w:rFonts w:cs="Arial"/>
                <w:color w:val="auto"/>
                <w:lang w:val="en-US"/>
              </w:rPr>
              <w:t xml:space="preserve">have </w:t>
            </w:r>
            <w:r w:rsidRPr="040DAD7E" w:rsidR="7755664B">
              <w:rPr>
                <w:rFonts w:cs="Arial"/>
                <w:color w:val="auto"/>
                <w:lang w:val="en-US"/>
              </w:rPr>
              <w:t>identified social</w:t>
            </w:r>
            <w:r w:rsidRPr="040DAD7E" w:rsidR="2A438CD3">
              <w:rPr>
                <w:rFonts w:cs="Arial"/>
                <w:color w:val="auto"/>
                <w:lang w:val="en-US"/>
              </w:rPr>
              <w:t xml:space="preserve"> and</w:t>
            </w:r>
            <w:r w:rsidRPr="040DAD7E" w:rsidR="7755664B">
              <w:rPr>
                <w:rFonts w:cs="Arial"/>
                <w:color w:val="auto"/>
                <w:lang w:val="en-US"/>
              </w:rPr>
              <w:t xml:space="preserve"> emotional issues for many pupils</w:t>
            </w:r>
            <w:r w:rsidRPr="040DAD7E" w:rsidR="11220977">
              <w:rPr>
                <w:rFonts w:cs="Arial"/>
                <w:color w:val="auto"/>
                <w:lang w:val="en-US"/>
              </w:rPr>
              <w:t xml:space="preserve">, </w:t>
            </w:r>
            <w:r w:rsidRPr="040DAD7E" w:rsidR="2631E900">
              <w:rPr>
                <w:rFonts w:cs="Arial"/>
                <w:color w:val="auto"/>
                <w:lang w:val="en-US"/>
              </w:rPr>
              <w:t xml:space="preserve">lack of ability to </w:t>
            </w:r>
            <w:r w:rsidRPr="040DAD7E" w:rsidR="2631E900">
              <w:rPr>
                <w:rFonts w:cs="Arial"/>
                <w:color w:val="auto"/>
                <w:lang w:val="en-US"/>
              </w:rPr>
              <w:t>self-regulate</w:t>
            </w:r>
            <w:r w:rsidRPr="040DAD7E" w:rsidR="2631E900">
              <w:rPr>
                <w:rFonts w:cs="Arial"/>
                <w:color w:val="auto"/>
                <w:lang w:val="en-US"/>
              </w:rPr>
              <w:t xml:space="preserve"> </w:t>
            </w:r>
            <w:proofErr w:type="spellStart"/>
            <w:r w:rsidRPr="040DAD7E" w:rsidR="2631E900">
              <w:rPr>
                <w:rFonts w:cs="Arial"/>
                <w:color w:val="auto"/>
                <w:lang w:val="en-US"/>
              </w:rPr>
              <w:t>behaviour</w:t>
            </w:r>
            <w:proofErr w:type="spellEnd"/>
            <w:r w:rsidRPr="040DAD7E" w:rsidR="2631E900">
              <w:rPr>
                <w:rFonts w:cs="Arial"/>
                <w:color w:val="auto"/>
                <w:lang w:val="en-US"/>
              </w:rPr>
              <w:t xml:space="preserve">, low </w:t>
            </w:r>
            <w:r w:rsidRPr="040DAD7E" w:rsidR="25F8282D">
              <w:rPr>
                <w:rFonts w:cs="Arial"/>
                <w:color w:val="auto"/>
                <w:lang w:val="en-US"/>
              </w:rPr>
              <w:t xml:space="preserve">aspirations and </w:t>
            </w:r>
            <w:r w:rsidRPr="040DAD7E" w:rsidR="2631E900">
              <w:rPr>
                <w:rFonts w:cs="Arial"/>
                <w:color w:val="auto"/>
                <w:lang w:val="en-US"/>
              </w:rPr>
              <w:t>lack of enrichment opportunities.</w:t>
            </w:r>
          </w:p>
          <w:p w:rsidRPr="00B2739F" w:rsidR="00660FD3" w:rsidP="69F9CB17" w:rsidRDefault="69F9CB17" w14:paraId="019997F9" w14:textId="14AC2CE1">
            <w:pPr>
              <w:pStyle w:val="TableRowCentered"/>
              <w:jc w:val="left"/>
              <w:rPr>
                <w:rFonts w:eastAsia="Arial" w:cs="Arial"/>
                <w:color w:val="0D0D0D" w:themeColor="text1" w:themeTint="F2"/>
                <w:sz w:val="22"/>
                <w:szCs w:val="22"/>
              </w:rPr>
            </w:pPr>
            <w:r w:rsidRPr="040DAD7E" w:rsidR="5527E413">
              <w:rPr>
                <w:rFonts w:eastAsia="Arial" w:cs="Arial"/>
                <w:color w:val="000000" w:themeColor="text1" w:themeTint="FF" w:themeShade="FF"/>
                <w:sz w:val="22"/>
                <w:szCs w:val="22"/>
              </w:rPr>
              <w:t>Reviewing Cultural passports has indicated that restricted opportunities to experience cultural enrichment and to develop cultural capital</w:t>
            </w:r>
            <w:r w:rsidRPr="040DAD7E" w:rsidR="1EEBEFEA">
              <w:rPr>
                <w:rFonts w:eastAsia="Arial" w:cs="Arial"/>
                <w:color w:val="000000" w:themeColor="text1" w:themeTint="FF" w:themeShade="FF"/>
                <w:sz w:val="22"/>
                <w:szCs w:val="22"/>
              </w:rPr>
              <w:t xml:space="preserve"> for disadvantaged pupils</w:t>
            </w:r>
          </w:p>
          <w:p w:rsidRPr="00B2739F" w:rsidR="00660FD3" w:rsidP="69F9CB17" w:rsidRDefault="00660FD3" w14:paraId="2A7D54FA" w14:textId="2D318742">
            <w:pPr>
              <w:suppressAutoHyphens w:val="0"/>
              <w:autoSpaceDN/>
              <w:spacing w:before="6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</w:p>
        </w:tc>
      </w:tr>
      <w:tr w:rsidRPr="00B87E35" w:rsidR="007118DD" w:rsidTr="040DAD7E" w14:paraId="49F86BC3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8DD" w:rsidP="003529D4" w:rsidRDefault="7D098920" w14:paraId="107BBDA1" w14:textId="09437A11">
            <w:pPr>
              <w:pStyle w:val="TableRow"/>
              <w:rPr>
                <w:sz w:val="22"/>
                <w:szCs w:val="22"/>
              </w:rPr>
            </w:pPr>
            <w:bookmarkStart w:name="_Toc443397160" w:id="17"/>
            <w:r w:rsidRPr="7D09892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F3790" w:rsidR="001502A9" w:rsidP="630034F6" w:rsidRDefault="001502A9" w14:paraId="02D9BCFB" w14:textId="60BAB55B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Pr="040DAD7E" w:rsidR="675342FB">
              <w:rPr>
                <w:rFonts w:cs="Arial"/>
                <w:color w:val="auto"/>
                <w:lang w:val="en-US"/>
              </w:rPr>
              <w:t>Our</w:t>
            </w:r>
            <w:r w:rsidRPr="040DAD7E" w:rsidR="212C2711">
              <w:rPr>
                <w:rFonts w:cs="Arial"/>
                <w:color w:val="auto"/>
                <w:lang w:val="en-US"/>
              </w:rPr>
              <w:t xml:space="preserve"> attendance data over the last </w:t>
            </w:r>
            <w:r w:rsidRPr="040DAD7E" w:rsidR="1EA631AC">
              <w:rPr>
                <w:rFonts w:cs="Arial"/>
                <w:color w:val="auto"/>
                <w:lang w:val="en-US"/>
              </w:rPr>
              <w:t>year</w:t>
            </w:r>
            <w:r w:rsidRPr="040DAD7E" w:rsidR="675342FB">
              <w:rPr>
                <w:rFonts w:cs="Arial"/>
                <w:color w:val="auto"/>
                <w:lang w:val="en-US"/>
              </w:rPr>
              <w:t xml:space="preserve"> indicates that attendance among disadvantaged pupils has </w:t>
            </w:r>
            <w:proofErr w:type="gramStart"/>
            <w:r w:rsidRPr="040DAD7E" w:rsidR="675342FB">
              <w:rPr>
                <w:rFonts w:cs="Arial"/>
                <w:color w:val="auto"/>
                <w:lang w:val="en-US"/>
              </w:rPr>
              <w:t>been between</w:t>
            </w:r>
            <w:proofErr w:type="gramEnd"/>
            <w:r w:rsidRPr="040DAD7E" w:rsidR="675342FB">
              <w:rPr>
                <w:rFonts w:cs="Arial"/>
                <w:color w:val="auto"/>
                <w:lang w:val="en-US"/>
              </w:rPr>
              <w:t xml:space="preserve"> </w:t>
            </w:r>
            <w:r w:rsidRPr="040DAD7E" w:rsidR="095BBFB5">
              <w:rPr>
                <w:rFonts w:cs="Arial"/>
                <w:color w:val="auto"/>
                <w:lang w:val="en-US"/>
              </w:rPr>
              <w:t>*1.</w:t>
            </w:r>
            <w:r w:rsidRPr="040DAD7E" w:rsidR="1F34A871">
              <w:rPr>
                <w:rFonts w:cs="Arial"/>
                <w:color w:val="auto"/>
                <w:lang w:val="en-US"/>
              </w:rPr>
              <w:t>5%</w:t>
            </w:r>
            <w:r w:rsidRPr="040DAD7E" w:rsidR="675342FB">
              <w:rPr>
                <w:rFonts w:cs="Arial"/>
                <w:color w:val="auto"/>
                <w:lang w:val="en-US"/>
              </w:rPr>
              <w:t>lower than for non-disadvantaged pupils.</w:t>
            </w:r>
            <w:r w:rsidRPr="040DAD7E" w:rsidR="095BBFB5">
              <w:rPr>
                <w:rFonts w:cs="Arial"/>
                <w:color w:val="auto"/>
                <w:lang w:val="en-US"/>
              </w:rPr>
              <w:t xml:space="preserve"> Whole school attendance is below The National Expectation.</w:t>
            </w:r>
          </w:p>
          <w:p w:rsidRPr="00E27862" w:rsidR="00B92D62" w:rsidP="630034F6" w:rsidRDefault="00B2739F" w14:paraId="24F44499" w14:textId="31180EBD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highlight w:val="yellow"/>
                <w:lang w:val="en-US"/>
              </w:rPr>
            </w:pPr>
            <w:r>
              <w:rPr>
                <w:rFonts w:cs="Arial"/>
                <w:color w:val="auto"/>
                <w:lang w:val="en-US"/>
              </w:rPr>
              <w:t>A</w:t>
            </w:r>
            <w:r w:rsidRPr="007F3790" w:rsidR="001502A9">
              <w:rPr>
                <w:rFonts w:cs="Arial"/>
                <w:color w:val="auto"/>
                <w:lang w:val="en-US"/>
              </w:rPr>
              <w:t>bsenteeism is negatively impacting disadvantaged pupils’ progress.</w:t>
            </w:r>
          </w:p>
        </w:tc>
      </w:tr>
      <w:tr w:rsidRPr="00B87E35" w:rsidR="00A42EC3" w:rsidTr="040DAD7E" w14:paraId="0D95E1A8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7D098920" w:rsidR="00A42EC3" w:rsidP="003529D4" w:rsidRDefault="00A42EC3" w14:paraId="31A1D5EE" w14:textId="4FAB02D3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F3790" w:rsidR="00A42EC3" w:rsidP="630034F6" w:rsidRDefault="00A42EC3" w14:paraId="2898EBAC" w14:textId="56610BBB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  <w:lang w:val="en-US"/>
              </w:rPr>
            </w:pPr>
            <w:r w:rsidR="212C2711">
              <w:rPr/>
              <w:t xml:space="preserve">Mobility – a clear grasp of a child’s prior learning </w:t>
            </w:r>
            <w:r w:rsidR="212C2711">
              <w:rPr/>
              <w:t>need</w:t>
            </w:r>
            <w:r w:rsidR="7BB7D5BC">
              <w:rPr/>
              <w:t>s</w:t>
            </w:r>
            <w:r w:rsidR="212C2711">
              <w:rPr/>
              <w:t xml:space="preserve"> to be clear on entry to ensure that pupils keep up and do not fall behind during transitions.</w:t>
            </w:r>
          </w:p>
        </w:tc>
      </w:tr>
    </w:tbl>
    <w:p w:rsidR="00E66558" w:rsidRDefault="009D71E8" w14:paraId="2A7D54FF" w14:textId="5B257CEA">
      <w:pPr>
        <w:pStyle w:val="Heading2"/>
        <w:spacing w:before="600"/>
      </w:pPr>
      <w:r>
        <w:t xml:space="preserve">Intended outcomes </w:t>
      </w:r>
    </w:p>
    <w:p w:rsidR="00E66558" w:rsidRDefault="009D71E8" w14:paraId="2A7D5500" w14:textId="77777777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56"/>
      </w:tblGrid>
      <w:tr w:rsidR="00E66558" w:rsidTr="040DAD7E" w14:paraId="2A7D5503" w14:textId="77777777">
        <w:tc>
          <w:tcPr>
            <w:tcW w:w="2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01" w14:textId="77777777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6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02" w14:textId="77777777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:rsidTr="040DAD7E" w14:paraId="2A7D5506" w14:textId="77777777">
        <w:tc>
          <w:tcPr>
            <w:tcW w:w="2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451A23" w:rsidP="00627225" w:rsidRDefault="001B758A" w14:paraId="2A7D5504" w14:textId="3B9F39C0">
            <w:pPr>
              <w:pStyle w:val="TableRow"/>
              <w:spacing w:after="120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I</w:t>
            </w:r>
            <w:r w:rsidRPr="00E27862" w:rsidR="001203D6">
              <w:rPr>
                <w:rFonts w:cs="Arial"/>
                <w:color w:val="auto"/>
              </w:rPr>
              <w:t>mproved ora</w:t>
            </w:r>
            <w:r w:rsidRPr="00E27862" w:rsidR="00155A11">
              <w:rPr>
                <w:rFonts w:cs="Arial"/>
                <w:color w:val="auto"/>
              </w:rPr>
              <w:t>l language skil</w:t>
            </w:r>
            <w:r w:rsidRPr="00E27862" w:rsidR="00D51A3D">
              <w:rPr>
                <w:rFonts w:cs="Arial"/>
                <w:color w:val="auto"/>
              </w:rPr>
              <w:t xml:space="preserve">ls and </w:t>
            </w:r>
            <w:r w:rsidRPr="00E27862" w:rsidR="00B35076">
              <w:rPr>
                <w:rFonts w:cs="Arial"/>
                <w:color w:val="auto"/>
              </w:rPr>
              <w:t>vocab</w:t>
            </w:r>
            <w:r w:rsidRPr="00E27862" w:rsidR="002417D4">
              <w:rPr>
                <w:rFonts w:cs="Arial"/>
                <w:color w:val="auto"/>
              </w:rPr>
              <w:t>ulary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Pr="00E27862" w:rsidR="00883CD9">
              <w:rPr>
                <w:rFonts w:cs="Arial"/>
                <w:color w:val="auto"/>
              </w:rPr>
              <w:t>among</w:t>
            </w:r>
            <w:r w:rsidRPr="00E27862" w:rsidR="001203D6">
              <w:rPr>
                <w:rFonts w:cs="Arial"/>
                <w:color w:val="auto"/>
              </w:rPr>
              <w:t xml:space="preserve"> disadvantaged pupils</w:t>
            </w:r>
            <w:r w:rsidR="003E4B48">
              <w:rPr>
                <w:rFonts w:cs="Arial"/>
                <w:color w:val="auto"/>
              </w:rPr>
              <w:t>.</w:t>
            </w:r>
            <w:r w:rsidRPr="00E27862" w:rsidR="00ED5CBD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6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C863B9" w:rsidP="003E2ED5" w:rsidRDefault="00E72FF0" w14:paraId="2A7D5505" w14:textId="3E167999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A</w:t>
            </w:r>
            <w:r w:rsidRPr="00E27862" w:rsidR="00BC2306">
              <w:rPr>
                <w:rFonts w:cs="Arial"/>
                <w:color w:val="auto"/>
              </w:rPr>
              <w:t>ssessment</w:t>
            </w:r>
            <w:r w:rsidRPr="00E27862" w:rsidR="00617354">
              <w:rPr>
                <w:rFonts w:cs="Arial"/>
                <w:color w:val="auto"/>
              </w:rPr>
              <w:t>s</w:t>
            </w:r>
            <w:r w:rsidRPr="00E27862" w:rsidR="007F4DEB">
              <w:rPr>
                <w:rFonts w:cs="Arial"/>
                <w:color w:val="auto"/>
              </w:rPr>
              <w:t xml:space="preserve"> </w:t>
            </w:r>
            <w:r w:rsidRPr="00E27862" w:rsidR="001E4E1D">
              <w:rPr>
                <w:rFonts w:cs="Arial"/>
                <w:color w:val="auto"/>
              </w:rPr>
              <w:t>and ob</w:t>
            </w:r>
            <w:r w:rsidRPr="00E27862" w:rsidR="00A4749A">
              <w:rPr>
                <w:rFonts w:cs="Arial"/>
                <w:color w:val="auto"/>
              </w:rPr>
              <w:t xml:space="preserve">servations </w:t>
            </w:r>
            <w:r w:rsidRPr="00E27862" w:rsidR="00CC1B11">
              <w:rPr>
                <w:rFonts w:cs="Arial"/>
                <w:color w:val="auto"/>
              </w:rPr>
              <w:t>indicate</w:t>
            </w:r>
            <w:r w:rsidRPr="00E27862" w:rsidR="007F4DEB">
              <w:rPr>
                <w:rFonts w:cs="Arial"/>
                <w:color w:val="auto"/>
              </w:rPr>
              <w:t xml:space="preserve"> </w:t>
            </w:r>
            <w:r w:rsidRPr="00E27862" w:rsidR="004F134F">
              <w:rPr>
                <w:rFonts w:cs="Arial"/>
                <w:color w:val="auto"/>
              </w:rPr>
              <w:t>significantly improved oral language among</w:t>
            </w:r>
            <w:r w:rsidRPr="00E27862" w:rsidR="00BA1581">
              <w:rPr>
                <w:rFonts w:cs="Arial"/>
                <w:color w:val="auto"/>
              </w:rPr>
              <w:t xml:space="preserve"> </w:t>
            </w:r>
            <w:r w:rsidRPr="00E27862" w:rsidR="00345879">
              <w:rPr>
                <w:rFonts w:cs="Arial"/>
                <w:color w:val="auto"/>
              </w:rPr>
              <w:t>disadvantaged pupils</w:t>
            </w:r>
            <w:r w:rsidRPr="00E27862" w:rsidR="00F81007">
              <w:rPr>
                <w:rFonts w:cs="Arial"/>
                <w:color w:val="auto"/>
              </w:rPr>
              <w:t xml:space="preserve">. </w:t>
            </w:r>
            <w:r w:rsidRPr="00E27862" w:rsidR="00F81007">
              <w:rPr>
                <w:color w:val="auto"/>
              </w:rPr>
              <w:t>This is evident when triangulated with other sources of evidence, including engagement in lessons, book scrutiny and ongoing formative assessment.</w:t>
            </w:r>
          </w:p>
        </w:tc>
      </w:tr>
      <w:tr w:rsidR="00E66558" w:rsidTr="040DAD7E" w14:paraId="2A7D550C" w14:textId="77777777">
        <w:tc>
          <w:tcPr>
            <w:tcW w:w="2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CB316E" w:rsidP="00A6450E" w:rsidRDefault="00CB316E" w14:paraId="2A7D550A" w14:textId="3C81A218">
            <w:pPr>
              <w:pStyle w:val="TableRow"/>
              <w:spacing w:after="120"/>
              <w:ind w:left="29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Improved reading a</w:t>
            </w:r>
            <w:r w:rsidRPr="00E27862" w:rsidR="003D4F5E">
              <w:rPr>
                <w:rFonts w:cs="Arial"/>
                <w:color w:val="auto"/>
              </w:rPr>
              <w:t>ttainment</w:t>
            </w:r>
            <w:r w:rsidRPr="00E27862">
              <w:rPr>
                <w:rFonts w:cs="Arial"/>
                <w:color w:val="auto"/>
              </w:rPr>
              <w:t xml:space="preserve"> </w:t>
            </w:r>
            <w:r w:rsidRPr="00E27862" w:rsidR="00A87062">
              <w:rPr>
                <w:rFonts w:cs="Arial"/>
                <w:color w:val="auto"/>
              </w:rPr>
              <w:t>among</w:t>
            </w:r>
            <w:r w:rsidRPr="00E27862">
              <w:rPr>
                <w:rFonts w:cs="Arial"/>
                <w:color w:val="auto"/>
              </w:rPr>
              <w:t xml:space="preserve"> disadvantaged pupils</w:t>
            </w:r>
            <w:r w:rsidRPr="00E27862" w:rsidR="00212A8E">
              <w:rPr>
                <w:rFonts w:cs="Arial"/>
                <w:color w:val="auto"/>
              </w:rPr>
              <w:t>.</w:t>
            </w:r>
            <w:r w:rsidRPr="00E278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6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A564D2" w:rsidP="0040333F" w:rsidRDefault="1708843E" w14:paraId="2A7D550B" w14:textId="32C3A57B">
            <w:pPr>
              <w:pStyle w:val="TableRowCentered"/>
              <w:spacing w:after="120"/>
              <w:jc w:val="left"/>
              <w:rPr>
                <w:rFonts w:cs="Arial"/>
                <w:color w:val="auto"/>
                <w:lang w:eastAsia="en-US"/>
              </w:rPr>
            </w:pPr>
            <w:r w:rsidRPr="040DAD7E" w:rsidR="166323A7">
              <w:rPr>
                <w:rFonts w:cs="Arial"/>
                <w:color w:val="auto"/>
              </w:rPr>
              <w:t>KS2</w:t>
            </w:r>
            <w:r w:rsidRPr="040DAD7E" w:rsidR="45FD6234">
              <w:rPr>
                <w:rFonts w:cs="Arial"/>
                <w:color w:val="auto"/>
                <w:lang w:eastAsia="en-US"/>
              </w:rPr>
              <w:t xml:space="preserve"> </w:t>
            </w:r>
            <w:r w:rsidRPr="040DAD7E" w:rsidR="6798EFEF">
              <w:rPr>
                <w:rFonts w:cs="Arial"/>
                <w:color w:val="auto"/>
                <w:lang w:eastAsia="en-US"/>
              </w:rPr>
              <w:t xml:space="preserve">reading </w:t>
            </w:r>
            <w:r w:rsidRPr="040DAD7E" w:rsidR="45FD6234">
              <w:rPr>
                <w:rFonts w:cs="Arial"/>
                <w:color w:val="auto"/>
                <w:lang w:eastAsia="en-US"/>
              </w:rPr>
              <w:t xml:space="preserve">outcomes </w:t>
            </w:r>
            <w:r w:rsidRPr="040DAD7E" w:rsidR="337ED46D">
              <w:rPr>
                <w:rFonts w:cs="Arial"/>
                <w:color w:val="auto"/>
                <w:lang w:eastAsia="en-US"/>
              </w:rPr>
              <w:t xml:space="preserve">in 2022/2023 </w:t>
            </w:r>
            <w:r w:rsidRPr="040DAD7E" w:rsidR="725BCD89">
              <w:rPr>
                <w:rFonts w:cs="Arial"/>
                <w:color w:val="auto"/>
                <w:lang w:eastAsia="en-US"/>
              </w:rPr>
              <w:t>show</w:t>
            </w:r>
            <w:r w:rsidRPr="040DAD7E" w:rsidR="5C01E1F6">
              <w:rPr>
                <w:rFonts w:cs="Arial"/>
                <w:color w:val="auto"/>
                <w:lang w:eastAsia="en-US"/>
              </w:rPr>
              <w:t xml:space="preserve"> that</w:t>
            </w:r>
            <w:r w:rsidRPr="040DAD7E" w:rsidR="7E82C493">
              <w:rPr>
                <w:rFonts w:cs="Arial"/>
                <w:color w:val="auto"/>
                <w:lang w:eastAsia="en-US"/>
              </w:rPr>
              <w:t xml:space="preserve"> th</w:t>
            </w:r>
            <w:r w:rsidRPr="040DAD7E" w:rsidR="585B1B74">
              <w:rPr>
                <w:rFonts w:cs="Arial"/>
                <w:color w:val="auto"/>
                <w:lang w:eastAsia="en-US"/>
              </w:rPr>
              <w:t>e gap between disadvantaged pupils and all pupils is narrowed and there is an increased % of pupils achieving ARE</w:t>
            </w:r>
          </w:p>
        </w:tc>
      </w:tr>
      <w:tr w:rsidRPr="00B32FF3" w:rsidR="00F62A08" w:rsidTr="040DAD7E" w14:paraId="0A29906D" w14:textId="77777777">
        <w:tc>
          <w:tcPr>
            <w:tcW w:w="2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F62A08" w:rsidP="00A6450E" w:rsidRDefault="00F62A08" w14:paraId="23F1BF86" w14:textId="71E62419">
            <w:pPr>
              <w:spacing w:before="60" w:line="240" w:lineRule="auto"/>
              <w:ind w:left="29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>To achieve and sustain improved wellbeing</w:t>
            </w:r>
            <w:r w:rsidRPr="00E27862" w:rsidR="007608BA">
              <w:rPr>
                <w:rFonts w:cs="Arial"/>
                <w:color w:val="auto"/>
              </w:rPr>
              <w:t xml:space="preserve"> for </w:t>
            </w:r>
            <w:r w:rsidRPr="00E27862" w:rsidR="002A637D">
              <w:rPr>
                <w:rFonts w:cs="Arial"/>
                <w:color w:val="auto"/>
              </w:rPr>
              <w:t xml:space="preserve">all </w:t>
            </w:r>
            <w:r w:rsidRPr="00E27862" w:rsidR="007608BA">
              <w:rPr>
                <w:rFonts w:cs="Arial"/>
                <w:color w:val="auto"/>
              </w:rPr>
              <w:t>pupils in our school</w:t>
            </w:r>
            <w:r w:rsidRPr="00E27862" w:rsidR="00BD7E90">
              <w:rPr>
                <w:rFonts w:cs="Arial"/>
                <w:color w:val="auto"/>
              </w:rPr>
              <w:t>,</w:t>
            </w:r>
            <w:r w:rsidRPr="00E27862" w:rsidR="00AA59FE">
              <w:rPr>
                <w:rFonts w:cs="Arial"/>
                <w:color w:val="auto"/>
              </w:rPr>
              <w:t xml:space="preserve"> </w:t>
            </w:r>
            <w:r w:rsidRPr="00E27862" w:rsidR="00BD7E90">
              <w:rPr>
                <w:rFonts w:cs="Arial"/>
                <w:color w:val="auto"/>
              </w:rPr>
              <w:t>particular</w:t>
            </w:r>
            <w:r w:rsidRPr="00E27862" w:rsidR="00AA59FE">
              <w:rPr>
                <w:rFonts w:cs="Arial"/>
                <w:color w:val="auto"/>
              </w:rPr>
              <w:t>ly</w:t>
            </w:r>
            <w:r w:rsidRPr="00E27862" w:rsidR="002A637D">
              <w:rPr>
                <w:rFonts w:cs="Arial"/>
                <w:color w:val="auto"/>
              </w:rPr>
              <w:t xml:space="preserve"> our</w:t>
            </w:r>
            <w:r w:rsidRPr="00E27862" w:rsidR="00AA59FE">
              <w:rPr>
                <w:rFonts w:cs="Arial"/>
                <w:color w:val="auto"/>
              </w:rPr>
              <w:t xml:space="preserve"> disadvantaged pupi</w:t>
            </w:r>
            <w:r w:rsidRPr="00E27862" w:rsidR="002A637D">
              <w:rPr>
                <w:rFonts w:cs="Arial"/>
                <w:color w:val="auto"/>
              </w:rPr>
              <w:t>ls</w:t>
            </w:r>
            <w:r w:rsidRPr="00E27862" w:rsidR="00212A8E">
              <w:rPr>
                <w:rFonts w:cs="Arial"/>
                <w:color w:val="auto"/>
              </w:rPr>
              <w:t>.</w:t>
            </w:r>
          </w:p>
        </w:tc>
        <w:tc>
          <w:tcPr>
            <w:tcW w:w="6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A51C42" w:rsidP="00B14F22" w:rsidRDefault="1CEAE880" w14:paraId="532CA682" w14:textId="4B01EE2B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</w:rPr>
            </w:pPr>
            <w:r w:rsidRPr="7D098920">
              <w:rPr>
                <w:rFonts w:cs="Arial"/>
                <w:color w:val="auto"/>
              </w:rPr>
              <w:t>S</w:t>
            </w:r>
            <w:r w:rsidRPr="7D098920" w:rsidR="25588C1F">
              <w:rPr>
                <w:rFonts w:cs="Arial"/>
                <w:color w:val="auto"/>
              </w:rPr>
              <w:t>ustained high levels of wellbeing</w:t>
            </w:r>
            <w:r w:rsidRPr="7D098920">
              <w:rPr>
                <w:rFonts w:cs="Arial"/>
                <w:color w:val="auto"/>
              </w:rPr>
              <w:t xml:space="preserve"> </w:t>
            </w:r>
            <w:r w:rsidRPr="7D098920" w:rsidR="4EEFDB7E">
              <w:rPr>
                <w:rFonts w:cs="Arial"/>
                <w:color w:val="auto"/>
              </w:rPr>
              <w:t xml:space="preserve">from 2022/23 </w:t>
            </w:r>
            <w:r w:rsidRPr="7D098920">
              <w:rPr>
                <w:rFonts w:cs="Arial"/>
                <w:color w:val="auto"/>
              </w:rPr>
              <w:t>demonstrated by:</w:t>
            </w:r>
          </w:p>
          <w:p w:rsidRPr="00E27862" w:rsidR="00B50646" w:rsidP="7D098920" w:rsidRDefault="1D6F1AA2" w14:paraId="27A4AC86" w14:textId="0AF6FD6D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rPr>
                <w:rFonts w:cs="Arial"/>
                <w:color w:val="auto"/>
              </w:rPr>
            </w:pPr>
            <w:r w:rsidRPr="7D098920">
              <w:rPr>
                <w:rFonts w:cs="Arial"/>
                <w:color w:val="auto"/>
              </w:rPr>
              <w:t>qualitative data from</w:t>
            </w:r>
            <w:r w:rsidRPr="7D098920" w:rsidR="25BAAE61">
              <w:rPr>
                <w:rFonts w:cs="Arial"/>
                <w:color w:val="auto"/>
              </w:rPr>
              <w:t xml:space="preserve"> student</w:t>
            </w:r>
            <w:r w:rsidRPr="7D098920" w:rsidR="4D57A3F7">
              <w:rPr>
                <w:rFonts w:cs="Arial"/>
                <w:color w:val="auto"/>
              </w:rPr>
              <w:t xml:space="preserve"> voice, student and parent surveys and teacher observations</w:t>
            </w:r>
          </w:p>
          <w:p w:rsidRPr="00E27862" w:rsidR="00B50646" w:rsidP="7D098920" w:rsidRDefault="0BFB6AB7" w14:paraId="08BE9240" w14:textId="63E593DB">
            <w:pPr>
              <w:pStyle w:val="ListParagraph"/>
              <w:numPr>
                <w:ilvl w:val="0"/>
                <w:numId w:val="24"/>
              </w:numPr>
              <w:suppressAutoHyphens w:val="0"/>
              <w:autoSpaceDN/>
              <w:spacing w:before="60" w:after="120" w:line="240" w:lineRule="auto"/>
              <w:ind w:right="57" w:hanging="357"/>
              <w:rPr>
                <w:rFonts w:cs="Arial"/>
                <w:color w:val="auto"/>
              </w:rPr>
            </w:pPr>
            <w:r w:rsidRPr="040DAD7E" w:rsidR="0BFB6AB7">
              <w:rPr>
                <w:rFonts w:cs="Arial"/>
                <w:color w:val="auto"/>
              </w:rPr>
              <w:t>a</w:t>
            </w:r>
            <w:r w:rsidRPr="040DAD7E" w:rsidR="585412B8">
              <w:rPr>
                <w:rFonts w:cs="Arial"/>
                <w:color w:val="auto"/>
              </w:rPr>
              <w:t>n</w:t>
            </w:r>
            <w:r w:rsidRPr="040DAD7E" w:rsidR="0BFB6AB7">
              <w:rPr>
                <w:rFonts w:cs="Arial"/>
                <w:color w:val="auto"/>
              </w:rPr>
              <w:t xml:space="preserve"> increase in participation </w:t>
            </w:r>
            <w:r w:rsidRPr="040DAD7E" w:rsidR="3AE0ED10">
              <w:rPr>
                <w:rFonts w:cs="Arial"/>
                <w:color w:val="auto"/>
              </w:rPr>
              <w:t xml:space="preserve">in </w:t>
            </w:r>
            <w:r w:rsidRPr="040DAD7E" w:rsidR="568FF525">
              <w:rPr>
                <w:rFonts w:cs="Arial"/>
                <w:color w:val="auto"/>
              </w:rPr>
              <w:t>enrichment activities</w:t>
            </w:r>
            <w:r w:rsidRPr="040DAD7E" w:rsidR="372DA8D5">
              <w:rPr>
                <w:rFonts w:cs="Arial"/>
                <w:color w:val="auto"/>
              </w:rPr>
              <w:t>, particularly</w:t>
            </w:r>
            <w:r w:rsidRPr="040DAD7E" w:rsidR="568FF525">
              <w:rPr>
                <w:rFonts w:cs="Arial"/>
                <w:color w:val="auto"/>
              </w:rPr>
              <w:t xml:space="preserve"> among disadvantaged pupils</w:t>
            </w:r>
            <w:r w:rsidRPr="040DAD7E" w:rsidR="772FDB9B">
              <w:rPr>
                <w:rFonts w:cs="Arial"/>
                <w:color w:val="auto"/>
              </w:rPr>
              <w:t xml:space="preserve"> </w:t>
            </w:r>
          </w:p>
          <w:p w:rsidRPr="00E27862" w:rsidR="00B50646" w:rsidP="040DAD7E" w:rsidRDefault="1CB455F9" w14:paraId="0C4D3CFE" w14:textId="413629F6">
            <w:pPr>
              <w:pStyle w:val="Normal"/>
              <w:suppressAutoHyphens w:val="0"/>
              <w:autoSpaceDN/>
              <w:spacing w:before="60" w:after="120" w:line="240" w:lineRule="auto"/>
              <w:ind w:left="0" w:right="57"/>
              <w:rPr>
                <w:rFonts w:cs="Arial"/>
                <w:color w:val="auto"/>
              </w:rPr>
            </w:pPr>
            <w:r w:rsidRPr="040DAD7E" w:rsidR="1CB455F9">
              <w:rPr>
                <w:rFonts w:cs="Arial"/>
                <w:color w:val="auto"/>
              </w:rPr>
              <w:t xml:space="preserve"> </w:t>
            </w:r>
            <w:r w:rsidRPr="040DAD7E" w:rsidR="5A97F74A">
              <w:rPr>
                <w:rFonts w:cs="Arial"/>
                <w:color w:val="auto"/>
              </w:rPr>
              <w:t xml:space="preserve"> </w:t>
            </w:r>
            <w:r w:rsidRPr="040DAD7E" w:rsidR="021C2135">
              <w:rPr>
                <w:rFonts w:cs="Arial"/>
                <w:color w:val="auto"/>
              </w:rPr>
              <w:t xml:space="preserve"> </w:t>
            </w:r>
          </w:p>
        </w:tc>
      </w:tr>
      <w:tr w:rsidRPr="00B32FF3" w:rsidR="00175C89" w:rsidTr="040DAD7E" w14:paraId="46FEADAA" w14:textId="77777777">
        <w:tc>
          <w:tcPr>
            <w:tcW w:w="2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175C89" w:rsidP="00A6450E" w:rsidRDefault="00E01412" w14:paraId="6D0B9C95" w14:textId="2503C460">
            <w:pPr>
              <w:pStyle w:val="TableRow"/>
              <w:ind w:left="29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To achieve and sustain improved attendance for all pupils, </w:t>
            </w:r>
            <w:r w:rsidRPr="00E27862" w:rsidR="00C829A3">
              <w:rPr>
                <w:rFonts w:cs="Arial"/>
                <w:color w:val="auto"/>
              </w:rPr>
              <w:t>particularly</w:t>
            </w:r>
            <w:r w:rsidRPr="00E27862">
              <w:rPr>
                <w:rFonts w:cs="Arial"/>
                <w:color w:val="auto"/>
              </w:rPr>
              <w:t xml:space="preserve"> our disadvantaged </w:t>
            </w:r>
            <w:r w:rsidRPr="00E27862" w:rsidR="002A637D">
              <w:rPr>
                <w:rFonts w:cs="Arial"/>
                <w:color w:val="auto"/>
              </w:rPr>
              <w:t>pupils</w:t>
            </w:r>
            <w:r w:rsidRPr="00E27862" w:rsidR="00212A8E">
              <w:rPr>
                <w:rFonts w:cs="Arial"/>
                <w:color w:val="auto"/>
              </w:rPr>
              <w:t>.</w:t>
            </w:r>
          </w:p>
        </w:tc>
        <w:tc>
          <w:tcPr>
            <w:tcW w:w="66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CC3491" w:rsidP="00CC3491" w:rsidRDefault="56C9B419" w14:paraId="7BD1DFBD" w14:textId="45FBB53F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</w:rPr>
            </w:pPr>
            <w:r w:rsidRPr="7D098920">
              <w:rPr>
                <w:rFonts w:cs="Arial"/>
                <w:color w:val="auto"/>
              </w:rPr>
              <w:t>Sustained high a</w:t>
            </w:r>
            <w:r w:rsidRPr="7D098920" w:rsidR="742241E3">
              <w:rPr>
                <w:rFonts w:cs="Arial"/>
                <w:color w:val="auto"/>
              </w:rPr>
              <w:t>ttendance</w:t>
            </w:r>
            <w:r w:rsidRPr="7D098920" w:rsidR="0FB9692E">
              <w:rPr>
                <w:rFonts w:cs="Arial"/>
                <w:color w:val="auto"/>
              </w:rPr>
              <w:t xml:space="preserve"> </w:t>
            </w:r>
            <w:r w:rsidRPr="7D098920" w:rsidR="4EEFDB7E">
              <w:rPr>
                <w:rFonts w:cs="Arial"/>
                <w:color w:val="auto"/>
              </w:rPr>
              <w:t xml:space="preserve">from 2022/23 </w:t>
            </w:r>
            <w:r w:rsidRPr="7D098920" w:rsidR="647C3269">
              <w:rPr>
                <w:rFonts w:cs="Arial"/>
                <w:color w:val="auto"/>
              </w:rPr>
              <w:t>demonstrate</w:t>
            </w:r>
            <w:r w:rsidRPr="7D098920" w:rsidR="0FB9692E">
              <w:rPr>
                <w:rFonts w:cs="Arial"/>
                <w:color w:val="auto"/>
              </w:rPr>
              <w:t>d by</w:t>
            </w:r>
            <w:r w:rsidRPr="7D098920" w:rsidR="5757FAB0">
              <w:rPr>
                <w:rFonts w:cs="Arial"/>
                <w:color w:val="auto"/>
              </w:rPr>
              <w:t>:</w:t>
            </w:r>
          </w:p>
          <w:p w:rsidRPr="00E27862" w:rsidR="00175C89" w:rsidP="040DAD7E" w:rsidRDefault="001C1224" w14:paraId="5571B343" w14:textId="7D367C82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highlight w:val="yellow"/>
              </w:rPr>
            </w:pPr>
            <w:r w:rsidRPr="040DAD7E" w:rsidR="602A4083">
              <w:rPr>
                <w:rFonts w:cs="Arial"/>
                <w:color w:val="auto"/>
              </w:rPr>
              <w:t xml:space="preserve"> </w:t>
            </w:r>
            <w:r w:rsidRPr="040DAD7E" w:rsidR="111680BB">
              <w:rPr>
                <w:rFonts w:cs="Arial"/>
                <w:color w:val="auto"/>
              </w:rPr>
              <w:t xml:space="preserve">attendance gap </w:t>
            </w:r>
            <w:r w:rsidRPr="040DAD7E" w:rsidR="12646C9F">
              <w:rPr>
                <w:rFonts w:cs="Arial"/>
                <w:color w:val="auto"/>
              </w:rPr>
              <w:t xml:space="preserve">between </w:t>
            </w:r>
            <w:r w:rsidRPr="040DAD7E" w:rsidR="602A4083">
              <w:rPr>
                <w:rFonts w:cs="Arial"/>
                <w:color w:val="auto"/>
              </w:rPr>
              <w:t>disadvantaged pupils</w:t>
            </w:r>
            <w:r w:rsidRPr="040DAD7E" w:rsidR="13893D39">
              <w:rPr>
                <w:rFonts w:cs="Arial"/>
                <w:color w:val="auto"/>
              </w:rPr>
              <w:t xml:space="preserve"> </w:t>
            </w:r>
            <w:r w:rsidRPr="040DAD7E" w:rsidR="111680BB">
              <w:rPr>
                <w:rFonts w:cs="Arial"/>
                <w:color w:val="auto"/>
              </w:rPr>
              <w:t xml:space="preserve">and their non-disadvantaged peers </w:t>
            </w:r>
            <w:r w:rsidRPr="040DAD7E" w:rsidR="6162A59F">
              <w:rPr>
                <w:rFonts w:cs="Arial"/>
                <w:color w:val="auto"/>
              </w:rPr>
              <w:t>to be reduced</w:t>
            </w:r>
            <w:r w:rsidRPr="040DAD7E" w:rsidR="55A21338">
              <w:rPr>
                <w:rFonts w:cs="Arial"/>
                <w:color w:val="auto"/>
              </w:rPr>
              <w:t>.</w:t>
            </w:r>
          </w:p>
          <w:p w:rsidRPr="00E27862" w:rsidR="002C53A2" w:rsidP="0D90E3B8" w:rsidRDefault="00CF52EA" w14:paraId="7182EE59" w14:textId="0A8AD52D">
            <w:pPr>
              <w:pStyle w:val="ListParagraph"/>
              <w:numPr>
                <w:ilvl w:val="0"/>
                <w:numId w:val="22"/>
              </w:numPr>
              <w:suppressAutoHyphens w:val="0"/>
              <w:autoSpaceDN/>
              <w:spacing w:before="60" w:after="120" w:line="240" w:lineRule="auto"/>
              <w:ind w:left="414" w:right="57" w:hanging="357"/>
              <w:rPr>
                <w:rFonts w:cs="Arial"/>
                <w:color w:val="auto"/>
              </w:rPr>
            </w:pPr>
            <w:r w:rsidRPr="040DAD7E" w:rsidR="696C9B99">
              <w:rPr>
                <w:rFonts w:cs="Arial"/>
                <w:color w:val="auto"/>
              </w:rPr>
              <w:t xml:space="preserve">the percentage of all pupils who are persistently absent </w:t>
            </w:r>
            <w:r w:rsidRPr="040DAD7E" w:rsidR="50387A9D">
              <w:rPr>
                <w:rFonts w:cs="Arial"/>
                <w:color w:val="auto"/>
              </w:rPr>
              <w:t>reduced and in line with National Expectation</w:t>
            </w:r>
          </w:p>
        </w:tc>
      </w:tr>
    </w:tbl>
    <w:p w:rsidR="00120AB1" w:rsidRDefault="00120AB1" w14:paraId="2A06959E" w14:textId="77777777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:rsidR="00E66558" w:rsidRDefault="009D71E8" w14:paraId="2A7D5512" w14:textId="7B489199">
      <w:pPr>
        <w:pStyle w:val="Heading2"/>
      </w:pPr>
      <w:r>
        <w:lastRenderedPageBreak/>
        <w:t>Activity in this academic year</w:t>
      </w:r>
    </w:p>
    <w:p w:rsidR="00E66558" w:rsidRDefault="009D71E8" w14:paraId="2A7D5513" w14:textId="7D0DAB71">
      <w:pPr>
        <w:spacing w:after="480"/>
      </w:pPr>
      <w:r>
        <w:t xml:space="preserve">This details how we intend to spend our pupil premium  </w:t>
      </w:r>
      <w:r w:rsidRPr="7D098920">
        <w:rPr>
          <w:b/>
          <w:bCs/>
        </w:rPr>
        <w:t>this academic year</w:t>
      </w:r>
      <w:r>
        <w:t xml:space="preserve"> to address the challenges listed above.</w:t>
      </w:r>
    </w:p>
    <w:p w:rsidR="00E66558" w:rsidRDefault="009D71E8" w14:paraId="2A7D5514" w14:textId="77777777">
      <w:pPr>
        <w:pStyle w:val="Heading3"/>
      </w:pPr>
      <w:r>
        <w:t>Teaching (for example, CPD, recruitment and retention)</w:t>
      </w:r>
    </w:p>
    <w:p w:rsidRPr="00750C33" w:rsidR="00E66558" w:rsidP="7D098920" w:rsidRDefault="009D71E8" w14:paraId="2A7D5515" w14:textId="4C9955AE">
      <w:pPr>
        <w:rPr>
          <w:b/>
          <w:bCs/>
          <w:color w:val="auto"/>
        </w:rPr>
      </w:pPr>
      <w:r>
        <w:t>Budgeted cost: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4536"/>
        <w:gridCol w:w="1553"/>
      </w:tblGrid>
      <w:tr w:rsidR="00E66558" w:rsidTr="6A273E56" w14:paraId="2A7D5519" w14:textId="77777777">
        <w:tc>
          <w:tcPr>
            <w:tcW w:w="3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6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7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8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Tr="6A273E56" w14:paraId="2A7D551D" w14:textId="77777777">
        <w:tc>
          <w:tcPr>
            <w:tcW w:w="3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E85" w:rsidP="007D6E85" w:rsidRDefault="00564DA6" w14:paraId="20C04A75" w14:textId="1A97ED07">
            <w:pPr>
              <w:pStyle w:val="TableRow"/>
              <w:spacing w:after="240"/>
              <w:ind w:left="29"/>
              <w:rPr>
                <w:color w:val="auto"/>
                <w:lang w:val="en-US"/>
              </w:rPr>
            </w:pPr>
            <w:r w:rsidRPr="007D6E85">
              <w:rPr>
                <w:rFonts w:cs="Arial"/>
                <w:color w:val="auto"/>
                <w:shd w:val="clear" w:color="auto" w:fill="FFFFFF"/>
              </w:rPr>
              <w:t>T</w:t>
            </w:r>
            <w:r w:rsidRPr="007D6E85" w:rsidR="00E5016D">
              <w:rPr>
                <w:rFonts w:cs="Arial"/>
                <w:color w:val="auto"/>
                <w:shd w:val="clear" w:color="auto" w:fill="FFFFFF"/>
              </w:rPr>
              <w:t>raining</w:t>
            </w:r>
            <w:r w:rsidRPr="007D6E85" w:rsidR="004414EB">
              <w:rPr>
                <w:rFonts w:cs="Arial"/>
                <w:color w:val="auto"/>
                <w:shd w:val="clear" w:color="auto" w:fill="FFFFFF"/>
              </w:rPr>
              <w:t xml:space="preserve"> for staff to ensure </w:t>
            </w:r>
            <w:r w:rsidRPr="007D6E85" w:rsidR="007D6E85">
              <w:rPr>
                <w:rFonts w:cs="Arial"/>
                <w:color w:val="auto"/>
                <w:shd w:val="clear" w:color="auto" w:fill="FFFFFF"/>
              </w:rPr>
              <w:t xml:space="preserve">AFL and feedback is </w:t>
            </w:r>
            <w:r w:rsidRPr="007D6E85" w:rsidR="0056651D">
              <w:rPr>
                <w:rFonts w:cs="Arial"/>
                <w:color w:val="auto"/>
                <w:shd w:val="clear" w:color="auto" w:fill="FFFFFF"/>
              </w:rPr>
              <w:t>accurate and effective</w:t>
            </w:r>
            <w:r w:rsidRPr="007D6E85" w:rsidR="00001891">
              <w:rPr>
                <w:rFonts w:cs="Arial"/>
                <w:color w:val="auto"/>
                <w:shd w:val="clear" w:color="auto" w:fill="FFFFFF"/>
              </w:rPr>
              <w:t>.</w:t>
            </w:r>
            <w:r w:rsidRPr="007D6E85" w:rsidR="007D6E85">
              <w:rPr>
                <w:color w:val="auto"/>
                <w:lang w:val="en-US"/>
              </w:rPr>
              <w:t xml:space="preserve"> </w:t>
            </w:r>
            <w:r w:rsidRPr="007D6E85" w:rsidR="007D6E85">
              <w:rPr>
                <w:color w:val="auto"/>
                <w:lang w:val="en-US"/>
              </w:rPr>
              <w:t>Retrieval Practice</w:t>
            </w:r>
            <w:r w:rsidR="007D6E85">
              <w:rPr>
                <w:color w:val="auto"/>
                <w:lang w:val="en-US"/>
              </w:rPr>
              <w:t>.</w:t>
            </w:r>
          </w:p>
          <w:p w:rsidR="007D6E85" w:rsidP="007D6E85" w:rsidRDefault="007D6E85" w14:paraId="1B2712E3" w14:textId="77777777">
            <w:pPr>
              <w:pStyle w:val="TableRow"/>
              <w:spacing w:after="240"/>
              <w:ind w:left="29"/>
              <w:rPr>
                <w:rFonts w:cs="Arial"/>
                <w:color w:val="auto"/>
                <w:shd w:val="clear" w:color="auto" w:fill="FFFFFF"/>
              </w:rPr>
            </w:pPr>
            <w:r w:rsidRPr="007D6E85">
              <w:rPr>
                <w:color w:val="auto"/>
                <w:lang w:val="en-US"/>
              </w:rPr>
              <w:t xml:space="preserve"> </w:t>
            </w:r>
            <w:r w:rsidRPr="007D6E85">
              <w:rPr>
                <w:color w:val="auto"/>
                <w:lang w:val="en-US"/>
              </w:rPr>
              <w:t>Use of  diagnostic assessment strategies</w:t>
            </w:r>
            <w:r>
              <w:rPr>
                <w:rFonts w:cs="Arial"/>
                <w:color w:val="auto"/>
                <w:shd w:val="clear" w:color="auto" w:fill="FFFFFF"/>
              </w:rPr>
              <w:t>.</w:t>
            </w:r>
          </w:p>
          <w:p w:rsidRPr="007D6E85" w:rsidR="007D6E85" w:rsidP="007D6E85" w:rsidRDefault="007D6E85" w14:paraId="2A7D551A" w14:textId="032AC729">
            <w:pPr>
              <w:pStyle w:val="TableRow"/>
              <w:spacing w:after="240"/>
              <w:ind w:left="29"/>
              <w:rPr>
                <w:rFonts w:cs="Arial"/>
                <w:color w:val="auto"/>
                <w:shd w:val="clear" w:color="auto" w:fill="FFFFFF"/>
              </w:rPr>
            </w:pPr>
            <w:r w:rsidRPr="007D6E85">
              <w:rPr>
                <w:rFonts w:cs="Arial"/>
                <w:color w:val="auto"/>
                <w:shd w:val="clear" w:color="auto" w:fill="FFFFFF"/>
              </w:rPr>
              <w:t>Engagement strategies CPD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7B3CB0" w:rsidP="69F9CB17" w:rsidRDefault="1E183F21" w14:paraId="35F67951" w14:textId="2E60FE77">
            <w:pPr>
              <w:pStyle w:val="TableRowCentered"/>
              <w:jc w:val="left"/>
              <w:rPr>
                <w:color w:val="auto"/>
              </w:rPr>
            </w:pPr>
            <w:r w:rsidRPr="69F9CB17">
              <w:rPr>
                <w:color w:val="auto"/>
              </w:rPr>
              <w:t xml:space="preserve">Diagnostic tests </w:t>
            </w:r>
            <w:r w:rsidRPr="69F9CB17" w:rsidR="5492CBFD">
              <w:rPr>
                <w:color w:val="auto"/>
              </w:rPr>
              <w:t xml:space="preserve">can </w:t>
            </w:r>
            <w:r w:rsidRPr="69F9CB17" w:rsidR="4AC61F0A">
              <w:rPr>
                <w:color w:val="auto"/>
              </w:rPr>
              <w:t xml:space="preserve">provide reliable insights </w:t>
            </w:r>
            <w:r w:rsidRPr="69F9CB17" w:rsidR="1B6A12B6">
              <w:rPr>
                <w:color w:val="auto"/>
              </w:rPr>
              <w:t>into the specific streng</w:t>
            </w:r>
            <w:r w:rsidRPr="69F9CB17" w:rsidR="472D443D">
              <w:rPr>
                <w:color w:val="auto"/>
              </w:rPr>
              <w:t>ths and weaknesses of each pupil</w:t>
            </w:r>
            <w:r w:rsidRPr="69F9CB17" w:rsidR="060575DB">
              <w:rPr>
                <w:color w:val="auto"/>
              </w:rPr>
              <w:t xml:space="preserve"> to help ensure they receive the correct additional support </w:t>
            </w:r>
            <w:r w:rsidRPr="69F9CB17" w:rsidR="01E8D678">
              <w:rPr>
                <w:color w:val="auto"/>
              </w:rPr>
              <w:t>through interventions or teacher instruction:</w:t>
            </w:r>
          </w:p>
          <w:p w:rsidRPr="00E27862" w:rsidR="00E66558" w:rsidP="00E5016D" w:rsidRDefault="00A52ECB" w14:paraId="2A7D551B" w14:textId="49EB6CD4">
            <w:pPr>
              <w:pStyle w:val="TableRowCentered"/>
              <w:spacing w:after="120"/>
              <w:jc w:val="left"/>
              <w:rPr>
                <w:color w:val="auto"/>
                <w:szCs w:val="24"/>
              </w:rPr>
            </w:pPr>
            <w:hyperlink w:history="1" r:id="rId10">
              <w:r w:rsidRPr="00E700F5" w:rsidR="007B3CB0">
                <w:rPr>
                  <w:color w:val="0070C0"/>
                  <w:szCs w:val="24"/>
                  <w:u w:val="single"/>
                </w:rPr>
                <w:t>Standardised tests | Assessing and Monitoring Pupil Progress | Education Endowment Foundation | EEF</w:t>
              </w:r>
            </w:hyperlink>
          </w:p>
        </w:tc>
        <w:tc>
          <w:tcPr>
            <w:tcW w:w="1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66558" w:rsidRDefault="0060246D" w14:paraId="2A7D551C" w14:textId="1821784F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E27862">
              <w:rPr>
                <w:color w:val="auto"/>
                <w:szCs w:val="24"/>
              </w:rPr>
              <w:t>1, 2, 3</w:t>
            </w:r>
            <w:r w:rsidRPr="00E27862" w:rsidR="002E63BB">
              <w:rPr>
                <w:color w:val="auto"/>
                <w:szCs w:val="24"/>
              </w:rPr>
              <w:t>, 4</w:t>
            </w:r>
            <w:r w:rsidRPr="00E27862">
              <w:rPr>
                <w:color w:val="auto"/>
                <w:szCs w:val="24"/>
              </w:rPr>
              <w:t xml:space="preserve"> </w:t>
            </w:r>
          </w:p>
        </w:tc>
      </w:tr>
      <w:tr w:rsidR="0015621F" w:rsidTr="6A273E56" w14:paraId="4C091B95" w14:textId="77777777">
        <w:tc>
          <w:tcPr>
            <w:tcW w:w="3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15621F" w:rsidP="6A273E56" w:rsidRDefault="009533EF" w14:paraId="2B6B491D" w14:textId="578A94C3">
            <w:pPr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color w:val="auto"/>
              </w:rPr>
            </w:pPr>
            <w:r w:rsidRPr="6A273E56" w:rsidR="009533EF">
              <w:rPr>
                <w:rFonts w:cs="Arial"/>
                <w:color w:val="auto"/>
              </w:rPr>
              <w:t>Purc</w:t>
            </w:r>
            <w:r w:rsidRPr="6A273E56" w:rsidR="00280615">
              <w:rPr>
                <w:rFonts w:cs="Arial"/>
                <w:color w:val="auto"/>
              </w:rPr>
              <w:t>hase</w:t>
            </w:r>
            <w:r w:rsidRPr="6A273E56" w:rsidR="009533EF">
              <w:rPr>
                <w:rFonts w:cs="Arial"/>
                <w:color w:val="auto"/>
              </w:rPr>
              <w:t xml:space="preserve"> of a </w:t>
            </w:r>
            <w:hyperlink r:id="Rf12a052d214f4592">
              <w:r w:rsidRPr="6A273E56" w:rsidR="009533EF">
                <w:rPr>
                  <w:rStyle w:val="Hyperlink"/>
                  <w:rFonts w:cs="Arial"/>
                  <w:color w:val="0070C0"/>
                </w:rPr>
                <w:t>D</w:t>
              </w:r>
              <w:r w:rsidRPr="6A273E56" w:rsidR="009533EF">
                <w:rPr>
                  <w:rStyle w:val="Hyperlink"/>
                  <w:color w:val="0070C0"/>
                </w:rPr>
                <w:t xml:space="preserve">fE </w:t>
              </w:r>
              <w:r w:rsidRPr="6A273E56" w:rsidR="009533EF">
                <w:rPr>
                  <w:rStyle w:val="Hyperlink"/>
                  <w:rFonts w:cs="Arial"/>
                  <w:color w:val="0070C0"/>
                </w:rPr>
                <w:t>validated Systematic Synthetic Phonics programme</w:t>
              </w:r>
            </w:hyperlink>
            <w:r w:rsidRPr="6A273E56" w:rsidR="009533EF">
              <w:rPr>
                <w:rFonts w:cs="Arial"/>
                <w:color w:val="auto"/>
              </w:rPr>
              <w:t xml:space="preserve"> to secure stronger phonics teachin</w:t>
            </w:r>
            <w:r w:rsidRPr="6A273E56" w:rsidR="00280615">
              <w:rPr>
                <w:rFonts w:cs="Arial"/>
                <w:color w:val="auto"/>
              </w:rPr>
              <w:t>g</w:t>
            </w:r>
            <w:r w:rsidRPr="6A273E56" w:rsidR="006E426D">
              <w:rPr>
                <w:rFonts w:cs="Arial"/>
                <w:color w:val="auto"/>
              </w:rPr>
              <w:t xml:space="preserve"> for all pupils</w:t>
            </w:r>
            <w:r w:rsidRPr="6A273E56" w:rsidR="00C34B56">
              <w:rPr>
                <w:rFonts w:cs="Arial"/>
                <w:color w:val="auto"/>
              </w:rPr>
              <w:t>.</w:t>
            </w:r>
          </w:p>
          <w:p w:rsidRPr="00E27862" w:rsidR="0015621F" w:rsidP="6A273E56" w:rsidRDefault="009533EF" w14:paraId="387AE30C" w14:textId="61136238">
            <w:pPr>
              <w:pStyle w:val="Normal"/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color w:val="auto"/>
              </w:rPr>
            </w:pPr>
          </w:p>
          <w:p w:rsidRPr="00E27862" w:rsidR="0015621F" w:rsidP="6A273E56" w:rsidRDefault="009533EF" w14:paraId="3C245BD9" w14:textId="79184F43">
            <w:pPr>
              <w:pStyle w:val="Normal"/>
              <w:suppressAutoHyphens w:val="0"/>
              <w:autoSpaceDN/>
              <w:spacing w:before="60" w:after="120" w:line="240" w:lineRule="auto"/>
              <w:ind w:left="29" w:right="57"/>
              <w:rPr>
                <w:rFonts w:cs="Arial"/>
                <w:color w:val="auto"/>
              </w:rPr>
            </w:pPr>
            <w:r w:rsidRPr="6A273E56" w:rsidR="22D348DF">
              <w:rPr>
                <w:rFonts w:cs="Arial"/>
                <w:color w:val="auto"/>
              </w:rPr>
              <w:t>Little Wandle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011010" w:rsidP="00011010" w:rsidRDefault="001A25A3" w14:paraId="7E538A35" w14:textId="7777777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>Phonics approaches have a strong evidence base that indicate</w:t>
            </w:r>
            <w:r w:rsidRPr="00E27862" w:rsidR="00136D68">
              <w:rPr>
                <w:rFonts w:cs="Arial"/>
                <w:color w:val="auto"/>
                <w:szCs w:val="24"/>
              </w:rPr>
              <w:t>s</w:t>
            </w:r>
            <w:r w:rsidRPr="00E27862">
              <w:rPr>
                <w:rFonts w:cs="Arial"/>
                <w:color w:val="auto"/>
                <w:szCs w:val="24"/>
              </w:rPr>
              <w:t xml:space="preserve"> </w:t>
            </w:r>
            <w:r w:rsidRPr="00E27862" w:rsidR="00533F08">
              <w:rPr>
                <w:rFonts w:cs="Arial"/>
                <w:color w:val="auto"/>
                <w:szCs w:val="24"/>
              </w:rPr>
              <w:t xml:space="preserve">a </w:t>
            </w:r>
            <w:r w:rsidRPr="00E27862">
              <w:rPr>
                <w:rFonts w:cs="Arial"/>
                <w:color w:val="auto"/>
                <w:szCs w:val="24"/>
              </w:rPr>
              <w:t xml:space="preserve">positive impact on </w:t>
            </w:r>
            <w:r w:rsidRPr="00E27862" w:rsidR="00B260CE">
              <w:rPr>
                <w:rFonts w:cs="Arial"/>
                <w:color w:val="auto"/>
                <w:szCs w:val="24"/>
              </w:rPr>
              <w:t>the accuracy of word reading</w:t>
            </w:r>
            <w:r w:rsidRPr="00E27862" w:rsidR="000301F1">
              <w:rPr>
                <w:rFonts w:cs="Arial"/>
                <w:color w:val="auto"/>
                <w:szCs w:val="24"/>
              </w:rPr>
              <w:t xml:space="preserve"> (though not necessarily comprehension)</w:t>
            </w:r>
            <w:r w:rsidRPr="00E27862">
              <w:rPr>
                <w:rFonts w:cs="Arial"/>
                <w:color w:val="auto"/>
                <w:szCs w:val="24"/>
              </w:rPr>
              <w:t xml:space="preserve">, particularly </w:t>
            </w:r>
            <w:r w:rsidRPr="00E27862" w:rsidR="00BF70E5">
              <w:rPr>
                <w:rFonts w:cs="Arial"/>
                <w:color w:val="auto"/>
                <w:szCs w:val="24"/>
              </w:rPr>
              <w:t xml:space="preserve">for </w:t>
            </w:r>
            <w:r w:rsidRPr="00E27862" w:rsidR="00011010">
              <w:rPr>
                <w:rFonts w:cs="Arial"/>
                <w:color w:val="auto"/>
                <w:szCs w:val="24"/>
              </w:rPr>
              <w:t xml:space="preserve">disadvantaged </w:t>
            </w:r>
            <w:r w:rsidRPr="00E27862" w:rsidR="00A9535D">
              <w:rPr>
                <w:rFonts w:cs="Arial"/>
                <w:color w:val="auto"/>
                <w:szCs w:val="24"/>
              </w:rPr>
              <w:t>pupils</w:t>
            </w:r>
            <w:r w:rsidRPr="00E27862" w:rsidR="006D12C0">
              <w:rPr>
                <w:rFonts w:cs="Arial"/>
                <w:color w:val="auto"/>
                <w:szCs w:val="24"/>
              </w:rPr>
              <w:t>:</w:t>
            </w:r>
            <w:r w:rsidRPr="00E27862">
              <w:rPr>
                <w:rFonts w:cs="Arial"/>
                <w:color w:val="auto"/>
                <w:szCs w:val="24"/>
              </w:rPr>
              <w:t xml:space="preserve"> </w:t>
            </w:r>
          </w:p>
          <w:p w:rsidRPr="00E27862" w:rsidR="001F198D" w:rsidP="003F1E06" w:rsidRDefault="00A52ECB" w14:paraId="59E476D0" w14:textId="60A39337">
            <w:pPr>
              <w:pStyle w:val="TableRowCentered"/>
              <w:spacing w:after="120"/>
              <w:jc w:val="left"/>
              <w:rPr>
                <w:rFonts w:cs="Arial"/>
                <w:color w:val="auto"/>
                <w:szCs w:val="24"/>
              </w:rPr>
            </w:pPr>
            <w:hyperlink w:history="1" r:id="rId12">
              <w:r w:rsidRPr="00D01A6D" w:rsidR="006D12C0">
                <w:rPr>
                  <w:color w:val="0070C0"/>
                  <w:szCs w:val="24"/>
                  <w:u w:val="single"/>
                </w:rPr>
                <w:t>Phonics | Toolkit Strand | Education Endowment Foundation | EEF</w:t>
              </w:r>
            </w:hyperlink>
          </w:p>
        </w:tc>
        <w:tc>
          <w:tcPr>
            <w:tcW w:w="1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15621F" w:rsidP="0015621F" w:rsidRDefault="0015621F" w14:paraId="2CAEE161" w14:textId="39D290A8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E27862">
              <w:rPr>
                <w:color w:val="auto"/>
                <w:szCs w:val="24"/>
              </w:rPr>
              <w:t>2</w:t>
            </w:r>
          </w:p>
        </w:tc>
      </w:tr>
      <w:tr w:rsidR="00D35EBE" w:rsidTr="6A273E56" w14:paraId="047042A4" w14:textId="77777777">
        <w:tc>
          <w:tcPr>
            <w:tcW w:w="3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5B4A5A" w:rsidP="005B4A5A" w:rsidRDefault="00B0341C" w14:paraId="4956074F" w14:textId="0104E070">
            <w:pPr>
              <w:spacing w:before="60" w:after="120" w:line="240" w:lineRule="auto"/>
              <w:ind w:left="28" w:right="57"/>
              <w:rPr>
                <w:rFonts w:cs="Arial"/>
                <w:color w:val="auto"/>
              </w:rPr>
            </w:pPr>
            <w:r w:rsidRPr="6A273E56" w:rsidR="00B0341C">
              <w:rPr>
                <w:color w:val="auto"/>
              </w:rPr>
              <w:t xml:space="preserve">Enhancement </w:t>
            </w:r>
            <w:r w:rsidRPr="6A273E56" w:rsidR="005B4A5A">
              <w:rPr>
                <w:color w:val="auto"/>
              </w:rPr>
              <w:t>of our maths teaching and curriculum planning in line with DfE and EEF guidance.</w:t>
            </w:r>
          </w:p>
          <w:p w:rsidRPr="00E27862" w:rsidR="00777F13" w:rsidP="005B4A5A" w:rsidRDefault="005B4A5A" w14:paraId="6E8F3FDD" w14:textId="2679E74D">
            <w:pPr>
              <w:suppressAutoHyphens w:val="0"/>
              <w:autoSpaceDN/>
              <w:spacing w:before="60" w:after="120" w:line="240" w:lineRule="auto"/>
              <w:ind w:left="28" w:right="57"/>
              <w:rPr>
                <w:rFonts w:cs="Arial"/>
                <w:iCs/>
                <w:color w:val="auto"/>
              </w:rPr>
            </w:pPr>
            <w:r w:rsidRPr="00E27862">
              <w:rPr>
                <w:color w:val="auto"/>
              </w:rPr>
              <w:t>CPD (including Teaching for Mastery training).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3F21FD" w:rsidP="003F21FD" w:rsidRDefault="003B514F" w14:paraId="10E7B8FE" w14:textId="08E047A5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iCs/>
                <w:color w:val="auto"/>
              </w:rPr>
            </w:pPr>
            <w:r w:rsidRPr="00E27862">
              <w:rPr>
                <w:rFonts w:cs="Arial"/>
                <w:iCs/>
                <w:color w:val="auto"/>
              </w:rPr>
              <w:t xml:space="preserve">The </w:t>
            </w:r>
            <w:r w:rsidRPr="00E27862" w:rsidR="004D025C">
              <w:rPr>
                <w:rFonts w:cs="Arial"/>
                <w:iCs/>
                <w:color w:val="auto"/>
              </w:rPr>
              <w:t xml:space="preserve">DfE </w:t>
            </w:r>
            <w:r w:rsidRPr="00E27862" w:rsidR="0023765D">
              <w:rPr>
                <w:rFonts w:cs="Arial"/>
                <w:iCs/>
                <w:color w:val="auto"/>
              </w:rPr>
              <w:t>non-statutory</w:t>
            </w:r>
            <w:r w:rsidRPr="00E27862" w:rsidR="004D025C">
              <w:rPr>
                <w:rFonts w:cs="Arial"/>
                <w:iCs/>
                <w:color w:val="auto"/>
              </w:rPr>
              <w:t xml:space="preserve"> guidance has been produced in conjunction with </w:t>
            </w:r>
            <w:r w:rsidRPr="00E27862" w:rsidR="0081586E">
              <w:rPr>
                <w:rFonts w:cs="Arial"/>
                <w:iCs/>
                <w:color w:val="auto"/>
              </w:rPr>
              <w:t xml:space="preserve">the National Centre for </w:t>
            </w:r>
            <w:r w:rsidRPr="00E27862" w:rsidR="00A9674D">
              <w:rPr>
                <w:rFonts w:cs="Arial"/>
                <w:iCs/>
                <w:color w:val="auto"/>
              </w:rPr>
              <w:t xml:space="preserve">Excellence in the </w:t>
            </w:r>
            <w:r w:rsidRPr="00E27862" w:rsidR="006B5875">
              <w:rPr>
                <w:rFonts w:cs="Arial"/>
                <w:iCs/>
                <w:color w:val="auto"/>
              </w:rPr>
              <w:t>Teaching of Mathematics</w:t>
            </w:r>
            <w:r w:rsidRPr="00E27862" w:rsidR="002C5C55">
              <w:rPr>
                <w:rFonts w:cs="Arial"/>
                <w:iCs/>
                <w:color w:val="auto"/>
              </w:rPr>
              <w:t>,</w:t>
            </w:r>
            <w:r w:rsidRPr="00E27862" w:rsidR="00172E82">
              <w:rPr>
                <w:rFonts w:cs="Arial"/>
                <w:iCs/>
                <w:color w:val="auto"/>
              </w:rPr>
              <w:t xml:space="preserve"> </w:t>
            </w:r>
            <w:r w:rsidRPr="00E27862" w:rsidR="002267E9">
              <w:rPr>
                <w:rFonts w:cs="Arial"/>
                <w:iCs/>
                <w:color w:val="auto"/>
              </w:rPr>
              <w:t>drawing</w:t>
            </w:r>
            <w:r w:rsidRPr="00E27862" w:rsidR="00172E82">
              <w:rPr>
                <w:rFonts w:cs="Arial"/>
                <w:iCs/>
                <w:color w:val="auto"/>
              </w:rPr>
              <w:t xml:space="preserve"> on </w:t>
            </w:r>
            <w:r w:rsidRPr="00E27862" w:rsidR="002267E9">
              <w:rPr>
                <w:rFonts w:cs="Arial"/>
                <w:iCs/>
                <w:color w:val="auto"/>
              </w:rPr>
              <w:t>evidence-</w:t>
            </w:r>
            <w:r w:rsidRPr="00E27862" w:rsidR="00172E82">
              <w:rPr>
                <w:rFonts w:cs="Arial"/>
                <w:iCs/>
                <w:color w:val="auto"/>
              </w:rPr>
              <w:t xml:space="preserve">based </w:t>
            </w:r>
            <w:r w:rsidRPr="00E27862" w:rsidR="002267E9">
              <w:rPr>
                <w:rFonts w:cs="Arial"/>
                <w:iCs/>
                <w:color w:val="auto"/>
              </w:rPr>
              <w:t>approaches</w:t>
            </w:r>
            <w:r w:rsidRPr="00E27862" w:rsidR="006B5875">
              <w:rPr>
                <w:rFonts w:cs="Arial"/>
                <w:iCs/>
                <w:color w:val="auto"/>
              </w:rPr>
              <w:t>:</w:t>
            </w:r>
            <w:r w:rsidRPr="00E27862" w:rsidR="008153E9">
              <w:rPr>
                <w:rFonts w:cs="Arial"/>
                <w:iCs/>
                <w:color w:val="auto"/>
              </w:rPr>
              <w:t xml:space="preserve"> </w:t>
            </w:r>
          </w:p>
          <w:p w:rsidRPr="00D01A6D" w:rsidR="00FC0184" w:rsidP="001662B7" w:rsidRDefault="00A52ECB" w14:paraId="38F5887A" w14:textId="29E6A8D5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  <w:iCs/>
                <w:color w:val="0070C0"/>
              </w:rPr>
            </w:pPr>
            <w:hyperlink w:history="1" r:id="rId13">
              <w:r w:rsidRPr="00D01A6D" w:rsidR="003E3A10">
                <w:rPr>
                  <w:color w:val="0070C0"/>
                  <w:u w:val="single"/>
                </w:rPr>
                <w:t>Maths_guidance_KS_1_and_2.pdf (publishing.service.gov.uk)</w:t>
              </w:r>
            </w:hyperlink>
          </w:p>
          <w:p w:rsidRPr="00E27862" w:rsidR="00FB5EA9" w:rsidP="00FB5EA9" w:rsidRDefault="006B5875" w14:paraId="3E93BD35" w14:textId="77777777">
            <w:pPr>
              <w:suppressAutoHyphens w:val="0"/>
              <w:autoSpaceDN/>
              <w:spacing w:before="120" w:after="60" w:line="240" w:lineRule="auto"/>
              <w:ind w:left="57" w:right="57"/>
              <w:rPr>
                <w:rFonts w:cs="Arial"/>
                <w:color w:val="auto"/>
              </w:rPr>
            </w:pPr>
            <w:r w:rsidRPr="00E27862">
              <w:rPr>
                <w:rFonts w:cs="Arial"/>
                <w:color w:val="auto"/>
              </w:rPr>
              <w:t xml:space="preserve">The EEF guidance is based on a range of the best available evidence: </w:t>
            </w:r>
          </w:p>
          <w:p w:rsidRPr="007D6E85" w:rsidR="007D6E85" w:rsidP="007D6E85" w:rsidRDefault="006B5875" w14:paraId="0892004B" w14:textId="09860920">
            <w:pPr>
              <w:suppressAutoHyphens w:val="0"/>
              <w:autoSpaceDN/>
              <w:spacing w:before="60" w:after="120" w:line="240" w:lineRule="auto"/>
              <w:ind w:left="57" w:right="57"/>
              <w:rPr>
                <w:rFonts w:cs="Arial"/>
              </w:rPr>
            </w:pPr>
            <w:r w:rsidRPr="007D6E85">
              <w:rPr>
                <w:rFonts w:cs="Arial"/>
              </w:rPr>
              <w:t>Improving M</w:t>
            </w:r>
            <w:r w:rsidR="007D6E85">
              <w:rPr>
                <w:rFonts w:cs="Arial"/>
              </w:rPr>
              <w:t>athematics in Key Stages 1  and 2.</w:t>
            </w:r>
          </w:p>
        </w:tc>
        <w:tc>
          <w:tcPr>
            <w:tcW w:w="1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D35EBE" w:rsidP="0015621F" w:rsidRDefault="0077187E" w14:paraId="6421EC39" w14:textId="5E043EAB">
            <w:pPr>
              <w:pStyle w:val="TableRowCentered"/>
              <w:jc w:val="left"/>
              <w:rPr>
                <w:color w:val="auto"/>
                <w:szCs w:val="24"/>
              </w:rPr>
            </w:pPr>
            <w:r w:rsidRPr="00E27862">
              <w:rPr>
                <w:color w:val="auto"/>
                <w:szCs w:val="24"/>
              </w:rPr>
              <w:t>3</w:t>
            </w:r>
          </w:p>
        </w:tc>
      </w:tr>
      <w:tr w:rsidR="0015621F" w:rsidTr="6A273E56" w14:paraId="2C76C953" w14:textId="77777777">
        <w:tc>
          <w:tcPr>
            <w:tcW w:w="3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86558" w:rsidR="00D8456D" w:rsidP="00A6450E" w:rsidRDefault="00B9686E" w14:paraId="58B787E1" w14:textId="2103EDC5">
            <w:pPr>
              <w:suppressAutoHyphens w:val="0"/>
              <w:autoSpaceDN/>
              <w:spacing w:before="60" w:after="0" w:line="240" w:lineRule="auto"/>
              <w:ind w:left="29"/>
              <w:rPr>
                <w:rFonts w:cs="Arial"/>
                <w:iCs/>
                <w:color w:val="auto"/>
                <w:lang w:val="en-US" w:eastAsia="en-US"/>
              </w:rPr>
            </w:pPr>
            <w:r w:rsidRPr="00E86558">
              <w:rPr>
                <w:rFonts w:cs="Arial"/>
                <w:iCs/>
                <w:color w:val="auto"/>
                <w:lang w:val="en-US" w:eastAsia="en-US"/>
              </w:rPr>
              <w:t>Improve the quality of social and emotional (SEL) learning.</w:t>
            </w:r>
          </w:p>
          <w:p w:rsidRPr="00E86558" w:rsidR="00B9686E" w:rsidP="00B9686E" w:rsidRDefault="00B9686E" w14:paraId="7FEACF77" w14:textId="77777777">
            <w:pPr>
              <w:suppressAutoHyphens w:val="0"/>
              <w:autoSpaceDN/>
              <w:spacing w:after="0" w:line="240" w:lineRule="auto"/>
              <w:rPr>
                <w:rFonts w:cs="Arial"/>
                <w:iCs/>
                <w:color w:val="auto"/>
                <w:lang w:val="en-US" w:eastAsia="en-US"/>
              </w:rPr>
            </w:pPr>
          </w:p>
          <w:p w:rsidR="00E64605" w:rsidP="009B7A21" w:rsidRDefault="00E93BAA" w14:paraId="5D4ED4BA" w14:textId="77777777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lang w:val="en-US" w:eastAsia="en-US"/>
              </w:rPr>
            </w:pPr>
            <w:r w:rsidRPr="00E86558">
              <w:rPr>
                <w:rFonts w:cs="Arial"/>
                <w:iCs/>
                <w:color w:val="auto"/>
                <w:lang w:val="en-US" w:eastAsia="en-US"/>
              </w:rPr>
              <w:t>SEL approaches will be embedded</w:t>
            </w:r>
            <w:r w:rsidRPr="00E86558" w:rsidR="009B7A21">
              <w:rPr>
                <w:rFonts w:cs="Arial"/>
                <w:iCs/>
                <w:color w:val="auto"/>
                <w:lang w:val="en-US" w:eastAsia="en-US"/>
              </w:rPr>
              <w:t xml:space="preserve"> into routine educa</w:t>
            </w:r>
            <w:r w:rsidRPr="00E86558" w:rsidR="009B7A21">
              <w:rPr>
                <w:rFonts w:cs="Arial"/>
                <w:iCs/>
                <w:color w:val="auto"/>
                <w:lang w:val="en-US" w:eastAsia="en-US"/>
              </w:rPr>
              <w:lastRenderedPageBreak/>
              <w:t>tional practices and supported by professional development and training for staff</w:t>
            </w:r>
            <w:r w:rsidR="00E86558">
              <w:rPr>
                <w:rFonts w:cs="Arial"/>
                <w:iCs/>
                <w:color w:val="auto"/>
                <w:lang w:val="en-US" w:eastAsia="en-US"/>
              </w:rPr>
              <w:t>.</w:t>
            </w:r>
          </w:p>
          <w:p w:rsidRPr="00E27862" w:rsidR="00E86558" w:rsidP="009B7A21" w:rsidRDefault="00E86558" w14:paraId="2A7AB488" w14:textId="42DC1C90">
            <w:pPr>
              <w:suppressAutoHyphens w:val="0"/>
              <w:autoSpaceDN/>
              <w:spacing w:line="240" w:lineRule="auto"/>
              <w:rPr>
                <w:rFonts w:cs="Arial"/>
                <w:iCs/>
                <w:color w:val="auto"/>
                <w:lang w:val="en-US" w:eastAsia="en-US"/>
              </w:rPr>
            </w:pPr>
            <w:r>
              <w:rPr>
                <w:rFonts w:cs="Arial"/>
                <w:iCs/>
                <w:color w:val="auto"/>
                <w:lang w:val="en-US" w:eastAsia="en-US"/>
              </w:rPr>
              <w:t>Play therapist employed to support identified pupils.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704439" w:rsidP="00704439" w:rsidRDefault="00704439" w14:paraId="28B96080" w14:textId="72DE3A2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lastRenderedPageBreak/>
              <w:t>There is extensive evidence associating childhood social and emotional skills with improved outcomes at school and in later life (</w:t>
            </w:r>
            <w:r w:rsidRPr="00E27862" w:rsidR="00152206">
              <w:rPr>
                <w:rFonts w:cs="Arial"/>
                <w:color w:val="auto"/>
                <w:szCs w:val="24"/>
              </w:rPr>
              <w:t>e.g.,</w:t>
            </w:r>
            <w:r w:rsidRPr="00E27862">
              <w:rPr>
                <w:rFonts w:cs="Arial"/>
                <w:color w:val="auto"/>
                <w:szCs w:val="24"/>
              </w:rPr>
              <w:t xml:space="preserve"> improved academic performance, attitudes, behaviour and relationships</w:t>
            </w:r>
            <w:r w:rsidRPr="00E27862" w:rsidR="008A4B93">
              <w:rPr>
                <w:rFonts w:cs="Arial"/>
                <w:color w:val="auto"/>
                <w:szCs w:val="24"/>
              </w:rPr>
              <w:t xml:space="preserve"> with peers</w:t>
            </w:r>
            <w:r w:rsidRPr="00E27862" w:rsidR="0048228B">
              <w:rPr>
                <w:rFonts w:cs="Arial"/>
                <w:color w:val="auto"/>
                <w:szCs w:val="24"/>
              </w:rPr>
              <w:t>)</w:t>
            </w:r>
            <w:r w:rsidRPr="00E27862" w:rsidR="0016406A">
              <w:rPr>
                <w:rFonts w:cs="Arial"/>
                <w:color w:val="auto"/>
                <w:szCs w:val="24"/>
              </w:rPr>
              <w:t>:</w:t>
            </w:r>
          </w:p>
          <w:p w:rsidRPr="00E27862" w:rsidR="004F3914" w:rsidP="0044560E" w:rsidRDefault="00A52ECB" w14:paraId="406C7DAD" w14:textId="091DAF68">
            <w:pPr>
              <w:pStyle w:val="TableRowCentered"/>
              <w:spacing w:after="120"/>
              <w:jc w:val="left"/>
              <w:rPr>
                <w:color w:val="auto"/>
                <w:szCs w:val="24"/>
              </w:rPr>
            </w:pPr>
            <w:hyperlink w:history="1" r:id="rId14">
              <w:r w:rsidRPr="000106A2" w:rsidR="0016406A">
                <w:rPr>
                  <w:color w:val="0070C0"/>
                  <w:szCs w:val="24"/>
                  <w:u w:val="single"/>
                </w:rPr>
                <w:t>EEF_Social_and_Emotional_Learning.pdf(educationendowmentfoundation.org.uk)</w:t>
              </w:r>
            </w:hyperlink>
          </w:p>
        </w:tc>
        <w:tc>
          <w:tcPr>
            <w:tcW w:w="15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15621F" w:rsidP="0015621F" w:rsidRDefault="00D00AAB" w14:paraId="1D1E3F80" w14:textId="4FBA2DC5">
            <w:pPr>
              <w:pStyle w:val="TableRowCentered"/>
              <w:jc w:val="left"/>
              <w:rPr>
                <w:color w:val="auto"/>
                <w:szCs w:val="24"/>
                <w:highlight w:val="yellow"/>
              </w:rPr>
            </w:pPr>
            <w:r w:rsidRPr="00E27862">
              <w:rPr>
                <w:color w:val="auto"/>
                <w:szCs w:val="24"/>
              </w:rPr>
              <w:lastRenderedPageBreak/>
              <w:t>5</w:t>
            </w:r>
          </w:p>
        </w:tc>
      </w:tr>
    </w:tbl>
    <w:p w:rsidR="00E66558" w:rsidRDefault="00E66558" w14:paraId="2A7D5522" w14:textId="77777777">
      <w:pPr>
        <w:keepNext/>
        <w:spacing w:after="60"/>
        <w:outlineLvl w:val="1"/>
      </w:pPr>
    </w:p>
    <w:p w:rsidR="00E66558" w:rsidP="00AD0343" w:rsidRDefault="009D71E8" w14:paraId="2A7D5523" w14:textId="1DC08891">
      <w:pPr>
        <w:spacing w:before="240"/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:rsidR="00E66558" w:rsidP="00877501" w:rsidRDefault="009D71E8" w14:paraId="2A7D5524" w14:textId="27944AE1">
      <w:r>
        <w:t xml:space="preserve">Budgeted cost: </w:t>
      </w:r>
      <w:r w:rsidRPr="00E27862">
        <w:rPr>
          <w:b/>
          <w:bCs/>
          <w:color w:val="auto"/>
        </w:rPr>
        <w:t>£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972"/>
        <w:gridCol w:w="1542"/>
      </w:tblGrid>
      <w:tr w:rsidR="00E66558" w:rsidTr="040DAD7E" w14:paraId="2A7D5528" w14:textId="77777777"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5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6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7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2E7606" w:rsidTr="040DAD7E" w14:paraId="54A35B68" w14:textId="77777777"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06" w:rsidP="040DAD7E" w:rsidRDefault="002E7606" w14:paraId="528A7367" w14:textId="5A40B61B">
            <w:pPr>
              <w:pStyle w:val="TableRow"/>
              <w:rPr>
                <w:rFonts w:cs="Arial"/>
                <w:color w:val="auto"/>
                <w:lang w:val="en-US"/>
              </w:rPr>
            </w:pPr>
            <w:r w:rsidRPr="040DAD7E" w:rsidR="665917D1">
              <w:rPr>
                <w:rFonts w:cs="Arial"/>
                <w:color w:val="auto"/>
                <w:lang w:val="en-US"/>
              </w:rPr>
              <w:t>Curriculum, assessment and intervention re</w:t>
            </w:r>
            <w:r w:rsidRPr="040DAD7E" w:rsidR="62194258">
              <w:rPr>
                <w:rFonts w:cs="Arial"/>
                <w:color w:val="auto"/>
                <w:lang w:val="en-US"/>
              </w:rPr>
              <w:t>so</w:t>
            </w:r>
            <w:r w:rsidRPr="040DAD7E" w:rsidR="665917D1">
              <w:rPr>
                <w:rFonts w:cs="Arial"/>
                <w:color w:val="auto"/>
                <w:lang w:val="en-US"/>
              </w:rPr>
              <w:t>urces.</w:t>
            </w:r>
          </w:p>
          <w:p w:rsidRPr="0056651D" w:rsidR="002E7606" w:rsidP="040DAD7E" w:rsidRDefault="002E7606" w14:paraId="2473D95E" w14:textId="535B1CEB">
            <w:pPr>
              <w:pStyle w:val="TableRow"/>
              <w:rPr>
                <w:rFonts w:cs="Arial"/>
                <w:color w:val="auto"/>
                <w:lang w:val="en-US"/>
              </w:rPr>
            </w:pPr>
            <w:r w:rsidRPr="040DAD7E" w:rsidR="665917D1">
              <w:rPr>
                <w:rFonts w:cs="Arial"/>
                <w:color w:val="auto"/>
                <w:lang w:val="en-US"/>
              </w:rPr>
              <w:t xml:space="preserve">Resources ensure pupils </w:t>
            </w:r>
            <w:r w:rsidRPr="040DAD7E" w:rsidR="2AEE9A5F">
              <w:rPr>
                <w:rFonts w:cs="Arial"/>
                <w:color w:val="auto"/>
                <w:lang w:val="en-US"/>
              </w:rPr>
              <w:t xml:space="preserve">can </w:t>
            </w:r>
            <w:r w:rsidRPr="040DAD7E" w:rsidR="665917D1">
              <w:rPr>
                <w:rFonts w:cs="Arial"/>
                <w:color w:val="auto"/>
                <w:lang w:val="en-US"/>
              </w:rPr>
              <w:t>access the curriculum</w:t>
            </w:r>
            <w:r w:rsidRPr="040DAD7E" w:rsidR="1989F7F8">
              <w:rPr>
                <w:rFonts w:cs="Arial"/>
                <w:color w:val="auto"/>
                <w:lang w:val="en-US"/>
              </w:rPr>
              <w:t>.</w:t>
            </w:r>
          </w:p>
        </w:tc>
        <w:tc>
          <w:tcPr>
            <w:tcW w:w="4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2E7606" w:rsidP="7D098920" w:rsidRDefault="11A321C0" w14:paraId="70D92ED4" w14:textId="46BAE40C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040DAD7E" w:rsidR="371CE045">
              <w:rPr>
                <w:rFonts w:cs="Arial"/>
                <w:color w:val="auto"/>
              </w:rPr>
              <w:t>Online Learning Platforms.</w:t>
            </w:r>
          </w:p>
          <w:p w:rsidR="02043764" w:rsidP="040DAD7E" w:rsidRDefault="02043764" w14:paraId="00EBB1FF" w14:textId="346EE594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040DAD7E" w:rsidR="02043764">
              <w:rPr>
                <w:rFonts w:cs="Arial"/>
                <w:color w:val="auto"/>
              </w:rPr>
              <w:t>(Phonics, Reading, Maths)</w:t>
            </w:r>
          </w:p>
          <w:p w:rsidRPr="00E27862" w:rsidR="002E7606" w:rsidP="040DAD7E" w:rsidRDefault="7D098920" w14:paraId="58620AED" w14:textId="583E4BCC">
            <w:pPr>
              <w:pStyle w:val="TableRowCentered"/>
              <w:jc w:val="left"/>
              <w:rPr>
                <w:rFonts w:cs="Arial"/>
                <w:color w:val="auto"/>
              </w:rPr>
            </w:pPr>
            <w:r w:rsidRPr="040DAD7E" w:rsidR="46AD0171">
              <w:rPr>
                <w:rFonts w:cs="Arial"/>
                <w:color w:val="auto"/>
              </w:rPr>
              <w:t>PIXL</w:t>
            </w:r>
          </w:p>
          <w:p w:rsidRPr="00E27862" w:rsidR="002E7606" w:rsidP="040DAD7E" w:rsidRDefault="7D098920" w14:paraId="1D223981" w14:textId="0D99146F">
            <w:pPr>
              <w:pStyle w:val="TableRowCentered"/>
              <w:ind w:left="0"/>
              <w:jc w:val="left"/>
              <w:rPr>
                <w:rFonts w:cs="Arial"/>
                <w:color w:val="auto"/>
              </w:rPr>
            </w:pPr>
          </w:p>
          <w:p w:rsidRPr="00E27862" w:rsidR="002E7606" w:rsidP="7D098920" w:rsidRDefault="7D098920" w14:paraId="0B669F61" w14:textId="7B703CF6">
            <w:pPr>
              <w:pStyle w:val="TableRowCentered"/>
              <w:jc w:val="left"/>
              <w:rPr>
                <w:rFonts w:cs="Arial"/>
                <w:color w:val="auto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95351" w:rsidR="002E7606" w:rsidP="00B8060C" w:rsidRDefault="002E7606" w14:paraId="7AFCF080" w14:textId="77777777">
            <w:pPr>
              <w:pStyle w:val="TableRowCentered"/>
              <w:jc w:val="left"/>
              <w:rPr>
                <w:color w:val="auto"/>
                <w:szCs w:val="22"/>
              </w:rPr>
            </w:pPr>
          </w:p>
        </w:tc>
      </w:tr>
      <w:tr w:rsidR="00B8060C" w:rsidTr="040DAD7E" w14:paraId="5DBDFA5D" w14:textId="77777777"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636611F" w:rsidP="040DAD7E" w:rsidRDefault="3636611F" w14:paraId="77862A76" w14:textId="7CD858C4">
            <w:pPr>
              <w:pStyle w:val="TableRow"/>
              <w:ind w:left="0"/>
              <w:rPr>
                <w:rFonts w:cs="Arial"/>
                <w:color w:val="auto"/>
                <w:lang w:val="en-US"/>
              </w:rPr>
            </w:pPr>
            <w:r w:rsidRPr="040DAD7E" w:rsidR="3636611F">
              <w:rPr>
                <w:rFonts w:cs="Arial"/>
                <w:color w:val="auto"/>
                <w:lang w:val="en-US"/>
              </w:rPr>
              <w:t xml:space="preserve">Implementation of new Phonics </w:t>
            </w:r>
            <w:proofErr w:type="spellStart"/>
            <w:r w:rsidRPr="040DAD7E" w:rsidR="3636611F">
              <w:rPr>
                <w:rFonts w:cs="Arial"/>
                <w:color w:val="auto"/>
                <w:lang w:val="en-US"/>
              </w:rPr>
              <w:t>programme</w:t>
            </w:r>
            <w:proofErr w:type="spellEnd"/>
            <w:r w:rsidRPr="040DAD7E" w:rsidR="3636611F">
              <w:rPr>
                <w:rFonts w:cs="Arial"/>
                <w:color w:val="auto"/>
                <w:lang w:val="en-US"/>
              </w:rPr>
              <w:t xml:space="preserve"> across KS1 </w:t>
            </w:r>
          </w:p>
          <w:p w:rsidR="3636611F" w:rsidP="040DAD7E" w:rsidRDefault="3636611F" w14:paraId="4C54F6BB" w14:textId="24F0CDF9">
            <w:pPr>
              <w:pStyle w:val="TableRow"/>
              <w:ind w:left="0"/>
              <w:rPr>
                <w:rFonts w:cs="Arial"/>
                <w:color w:val="auto"/>
                <w:lang w:val="en-US"/>
              </w:rPr>
            </w:pPr>
            <w:r w:rsidRPr="040DAD7E" w:rsidR="3636611F">
              <w:rPr>
                <w:rFonts w:cs="Arial"/>
                <w:color w:val="auto"/>
                <w:lang w:val="en-US"/>
              </w:rPr>
              <w:t>Staff CPD for all teaching and class-based support staff</w:t>
            </w:r>
          </w:p>
          <w:p w:rsidR="040DAD7E" w:rsidP="040DAD7E" w:rsidRDefault="040DAD7E" w14:paraId="6748C39F" w14:textId="352736C4">
            <w:pPr>
              <w:pStyle w:val="TableRow"/>
              <w:rPr>
                <w:rFonts w:cs="Arial"/>
                <w:color w:val="auto"/>
                <w:lang w:val="en-US"/>
              </w:rPr>
            </w:pPr>
          </w:p>
          <w:p w:rsidR="040DAD7E" w:rsidP="040DAD7E" w:rsidRDefault="040DAD7E" w14:paraId="4202390E" w14:textId="64652419">
            <w:pPr>
              <w:pStyle w:val="TableRow"/>
              <w:rPr>
                <w:rFonts w:cs="Arial"/>
                <w:color w:val="auto"/>
                <w:lang w:val="en-US"/>
              </w:rPr>
            </w:pPr>
          </w:p>
          <w:p w:rsidRPr="00E27862" w:rsidR="00B8060C" w:rsidP="040DAD7E" w:rsidRDefault="008A32B1" w14:paraId="49D0F3DD" w14:textId="6B62C2EF">
            <w:pPr>
              <w:pStyle w:val="TableRow"/>
              <w:rPr>
                <w:rFonts w:cs="Arial"/>
                <w:color w:val="auto"/>
                <w:lang w:val="en-US"/>
              </w:rPr>
            </w:pPr>
            <w:r w:rsidRPr="040DAD7E" w:rsidR="0706A539">
              <w:rPr>
                <w:rFonts w:cs="Arial"/>
                <w:color w:val="auto"/>
                <w:lang w:val="en-US"/>
              </w:rPr>
              <w:t xml:space="preserve">Additional phonics sessions </w:t>
            </w:r>
            <w:r w:rsidRPr="040DAD7E" w:rsidR="1F966161">
              <w:rPr>
                <w:rFonts w:cs="Arial"/>
                <w:color w:val="auto"/>
                <w:lang w:val="en-US"/>
              </w:rPr>
              <w:t xml:space="preserve">targeted </w:t>
            </w:r>
            <w:r w:rsidRPr="040DAD7E" w:rsidR="62194258">
              <w:rPr>
                <w:rFonts w:cs="Arial"/>
                <w:color w:val="auto"/>
                <w:lang w:val="en-US"/>
              </w:rPr>
              <w:t>for pupils</w:t>
            </w:r>
            <w:r w:rsidRPr="040DAD7E" w:rsidR="3DBBFDDE">
              <w:rPr>
                <w:rFonts w:cs="Arial"/>
                <w:color w:val="auto"/>
                <w:lang w:val="en-US"/>
              </w:rPr>
              <w:t xml:space="preserve"> who require </w:t>
            </w:r>
            <w:r w:rsidRPr="040DAD7E" w:rsidR="00200CFA">
              <w:rPr>
                <w:rFonts w:cs="Arial"/>
                <w:color w:val="auto"/>
                <w:lang w:val="en-US"/>
              </w:rPr>
              <w:t>further</w:t>
            </w:r>
            <w:r w:rsidRPr="040DAD7E" w:rsidR="3DBBFDDE">
              <w:rPr>
                <w:rFonts w:cs="Arial"/>
                <w:color w:val="auto"/>
                <w:lang w:val="en-US"/>
              </w:rPr>
              <w:t xml:space="preserve"> </w:t>
            </w:r>
            <w:r w:rsidRPr="040DAD7E" w:rsidR="0D3F0A98">
              <w:rPr>
                <w:rFonts w:cs="Arial"/>
                <w:color w:val="auto"/>
                <w:lang w:val="en-US"/>
              </w:rPr>
              <w:t xml:space="preserve">phonics </w:t>
            </w:r>
            <w:r w:rsidRPr="040DAD7E" w:rsidR="3DBBFDDE">
              <w:rPr>
                <w:rFonts w:cs="Arial"/>
                <w:color w:val="auto"/>
                <w:lang w:val="en-US"/>
              </w:rPr>
              <w:t>support</w:t>
            </w:r>
            <w:r w:rsidRPr="040DAD7E" w:rsidR="0706A539">
              <w:rPr>
                <w:rFonts w:cs="Arial"/>
                <w:color w:val="auto"/>
                <w:lang w:val="en-US"/>
              </w:rPr>
              <w:t xml:space="preserve"> </w:t>
            </w:r>
            <w:r w:rsidRPr="040DAD7E" w:rsidR="246257AF">
              <w:rPr>
                <w:rFonts w:cs="Arial"/>
                <w:color w:val="auto"/>
                <w:lang w:val="en-US"/>
              </w:rPr>
              <w:t>.</w:t>
            </w:r>
          </w:p>
          <w:p w:rsidRPr="00E27862" w:rsidR="00B8060C" w:rsidP="040DAD7E" w:rsidRDefault="008A32B1" w14:paraId="395F08C6" w14:textId="2F1E2963">
            <w:pPr>
              <w:pStyle w:val="TableRow"/>
              <w:rPr>
                <w:rFonts w:cs="Arial"/>
                <w:color w:val="auto"/>
                <w:lang w:val="en-US"/>
              </w:rPr>
            </w:pPr>
          </w:p>
          <w:p w:rsidRPr="00E27862" w:rsidR="00B8060C" w:rsidP="040DAD7E" w:rsidRDefault="008A32B1" w14:paraId="4D7A16D0" w14:textId="273FF75B">
            <w:pPr>
              <w:pStyle w:val="TableRow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4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C571A9" w:rsidP="00B266BB" w:rsidRDefault="00A31660" w14:paraId="109C2CC4" w14:textId="59728F2A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E27862">
              <w:rPr>
                <w:rFonts w:cs="Arial"/>
                <w:color w:val="auto"/>
                <w:szCs w:val="24"/>
              </w:rPr>
              <w:t xml:space="preserve">Phonics approaches </w:t>
            </w:r>
            <w:r w:rsidRPr="00E27862" w:rsidR="00D33EA0">
              <w:rPr>
                <w:rFonts w:cs="Arial"/>
                <w:color w:val="auto"/>
                <w:szCs w:val="24"/>
              </w:rPr>
              <w:t xml:space="preserve">have a strong evidence base </w:t>
            </w:r>
            <w:r w:rsidRPr="00E27862" w:rsidR="00762441">
              <w:rPr>
                <w:rFonts w:cs="Arial"/>
                <w:color w:val="auto"/>
                <w:szCs w:val="24"/>
              </w:rPr>
              <w:t>indicating</w:t>
            </w:r>
            <w:r w:rsidRPr="00E27862" w:rsidR="00D33EA0">
              <w:rPr>
                <w:rFonts w:cs="Arial"/>
                <w:color w:val="auto"/>
                <w:szCs w:val="24"/>
              </w:rPr>
              <w:t xml:space="preserve"> a positive impact on pupils</w:t>
            </w:r>
            <w:r w:rsidRPr="00E27862" w:rsidR="00ED20CC">
              <w:rPr>
                <w:rFonts w:cs="Arial"/>
                <w:color w:val="auto"/>
                <w:szCs w:val="24"/>
              </w:rPr>
              <w:t>, particularly</w:t>
            </w:r>
            <w:r w:rsidRPr="00E27862" w:rsidR="005C5549">
              <w:rPr>
                <w:rFonts w:cs="Arial"/>
                <w:color w:val="auto"/>
                <w:szCs w:val="24"/>
              </w:rPr>
              <w:t xml:space="preserve"> from</w:t>
            </w:r>
            <w:r w:rsidRPr="00E27862" w:rsidR="00ED20CC">
              <w:rPr>
                <w:rFonts w:cs="Arial"/>
                <w:color w:val="auto"/>
                <w:szCs w:val="24"/>
              </w:rPr>
              <w:t xml:space="preserve"> disadvantaged </w:t>
            </w:r>
            <w:r w:rsidRPr="00E27862" w:rsidR="005C5549">
              <w:rPr>
                <w:rFonts w:cs="Arial"/>
                <w:color w:val="auto"/>
                <w:szCs w:val="24"/>
              </w:rPr>
              <w:t>backgrounds</w:t>
            </w:r>
            <w:r w:rsidRPr="00E27862" w:rsidR="00ED20CC">
              <w:rPr>
                <w:rFonts w:cs="Arial"/>
                <w:color w:val="auto"/>
                <w:szCs w:val="24"/>
              </w:rPr>
              <w:t>.</w:t>
            </w:r>
            <w:r w:rsidRPr="00E27862" w:rsidR="00B266BB">
              <w:rPr>
                <w:rFonts w:cs="Arial"/>
                <w:color w:val="auto"/>
                <w:szCs w:val="24"/>
              </w:rPr>
              <w:t xml:space="preserve"> T</w:t>
            </w:r>
            <w:r w:rsidRPr="00E27862" w:rsidR="00C571A9">
              <w:rPr>
                <w:rFonts w:cs="Arial"/>
                <w:color w:val="auto"/>
                <w:szCs w:val="24"/>
              </w:rPr>
              <w:t xml:space="preserve">argeted </w:t>
            </w:r>
            <w:r w:rsidRPr="00E27862" w:rsidR="00B266BB">
              <w:rPr>
                <w:rFonts w:cs="Arial"/>
                <w:color w:val="auto"/>
                <w:szCs w:val="24"/>
              </w:rPr>
              <w:t xml:space="preserve">phonics interventions </w:t>
            </w:r>
            <w:r w:rsidRPr="00E27862" w:rsidR="00C571A9">
              <w:rPr>
                <w:rFonts w:cs="Arial"/>
                <w:color w:val="auto"/>
                <w:szCs w:val="24"/>
              </w:rPr>
              <w:t xml:space="preserve">have been </w:t>
            </w:r>
            <w:r w:rsidRPr="00E27862" w:rsidR="007839E5">
              <w:rPr>
                <w:rFonts w:cs="Arial"/>
                <w:color w:val="auto"/>
                <w:szCs w:val="24"/>
              </w:rPr>
              <w:t>shown to be more effective when delivered as regular sessions</w:t>
            </w:r>
            <w:r w:rsidRPr="00E27862" w:rsidR="00DA5D6B">
              <w:rPr>
                <w:rFonts w:cs="Arial"/>
                <w:color w:val="auto"/>
                <w:szCs w:val="24"/>
              </w:rPr>
              <w:t xml:space="preserve"> over a period up to 12 weeks</w:t>
            </w:r>
            <w:r w:rsidRPr="00E27862" w:rsidR="00EC363E">
              <w:rPr>
                <w:rFonts w:cs="Arial"/>
                <w:color w:val="auto"/>
                <w:szCs w:val="24"/>
              </w:rPr>
              <w:t>:</w:t>
            </w:r>
          </w:p>
          <w:p w:rsidRPr="00E27862" w:rsidR="0026462D" w:rsidP="00AE721B" w:rsidRDefault="00A52ECB" w14:paraId="5FCA18E8" w14:textId="1EE82AF2">
            <w:pPr>
              <w:pStyle w:val="TableRowCentered"/>
              <w:spacing w:after="120"/>
              <w:jc w:val="left"/>
              <w:rPr>
                <w:color w:val="auto"/>
              </w:rPr>
            </w:pPr>
            <w:hyperlink w:history="1" r:id="rId15">
              <w:r w:rsidRPr="00094874" w:rsidR="00E47AFE">
                <w:rPr>
                  <w:color w:val="0070C0"/>
                  <w:szCs w:val="24"/>
                  <w:u w:val="single"/>
                </w:rPr>
                <w:t>Phonics | Toolkit Strand | Education Endowment Foundation | EEF</w:t>
              </w:r>
            </w:hyperlink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95351" w:rsidR="00B8060C" w:rsidP="00B8060C" w:rsidRDefault="005153E1" w14:paraId="672A52F9" w14:textId="3A560533">
            <w:pPr>
              <w:pStyle w:val="TableRowCentered"/>
              <w:jc w:val="left"/>
              <w:rPr>
                <w:color w:val="auto"/>
                <w:szCs w:val="22"/>
              </w:rPr>
            </w:pPr>
            <w:r w:rsidRPr="00295351">
              <w:rPr>
                <w:color w:val="auto"/>
                <w:szCs w:val="22"/>
              </w:rPr>
              <w:t>2</w:t>
            </w:r>
          </w:p>
        </w:tc>
      </w:tr>
      <w:tr w:rsidR="005153E1" w:rsidTr="040DAD7E" w14:paraId="19EDD9EE" w14:textId="77777777"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5153E1" w:rsidP="00C076F0" w:rsidRDefault="00CB012A" w14:paraId="64111317" w14:textId="52227610">
            <w:pPr>
              <w:pStyle w:val="TableRow"/>
              <w:spacing w:after="120"/>
              <w:rPr>
                <w:rFonts w:cs="Arial"/>
                <w:iCs/>
                <w:color w:val="auto"/>
                <w:lang w:val="en-US"/>
              </w:rPr>
            </w:pPr>
            <w:r w:rsidRPr="00E27862">
              <w:rPr>
                <w:rFonts w:cs="Arial"/>
                <w:iCs/>
                <w:color w:val="auto"/>
                <w:lang w:val="en-US"/>
              </w:rPr>
              <w:t>Engaging with the National Tutoring Pro-gramme to provide a blend of tuition, mentoring and school-led tutoring for pupils whose education has been most impacted by the pandemic. A significant proportion of the pupils who receive tutoring will be disadvantag</w:t>
            </w:r>
            <w:r w:rsidRPr="00E27862" w:rsidR="009A365F">
              <w:rPr>
                <w:rFonts w:cs="Arial"/>
                <w:iCs/>
                <w:color w:val="auto"/>
                <w:lang w:val="en-US"/>
              </w:rPr>
              <w:t>ed</w:t>
            </w:r>
            <w:r w:rsidRPr="00E27862">
              <w:rPr>
                <w:rFonts w:cs="Arial"/>
                <w:iCs/>
                <w:color w:val="auto"/>
                <w:lang w:val="en-US"/>
              </w:rPr>
              <w:t>, including those who are high attainers.</w:t>
            </w:r>
          </w:p>
        </w:tc>
        <w:tc>
          <w:tcPr>
            <w:tcW w:w="4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EF248F" w:rsidP="007B323B" w:rsidRDefault="007060ED" w14:paraId="06FFC86A" w14:textId="77777777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E27862">
              <w:rPr>
                <w:color w:val="auto"/>
              </w:rPr>
              <w:t>T</w:t>
            </w:r>
            <w:r w:rsidRPr="00E27862" w:rsidR="00904E68">
              <w:rPr>
                <w:color w:val="auto"/>
              </w:rPr>
              <w:t xml:space="preserve">uition </w:t>
            </w:r>
            <w:r w:rsidRPr="00E27862" w:rsidR="00E656D9">
              <w:rPr>
                <w:color w:val="auto"/>
              </w:rPr>
              <w:t>targeted at specific needs</w:t>
            </w:r>
            <w:r w:rsidRPr="00E27862" w:rsidR="009D082A">
              <w:rPr>
                <w:color w:val="auto"/>
              </w:rPr>
              <w:t xml:space="preserve"> </w:t>
            </w:r>
            <w:r w:rsidRPr="00E27862" w:rsidR="00C636ED">
              <w:rPr>
                <w:color w:val="auto"/>
              </w:rPr>
              <w:t xml:space="preserve">and knowledge gaps </w:t>
            </w:r>
            <w:r w:rsidRPr="00E27862" w:rsidR="00D16358">
              <w:rPr>
                <w:color w:val="auto"/>
              </w:rPr>
              <w:t>can</w:t>
            </w:r>
            <w:r w:rsidRPr="00E27862" w:rsidR="009D082A">
              <w:rPr>
                <w:color w:val="auto"/>
              </w:rPr>
              <w:t xml:space="preserve"> </w:t>
            </w:r>
            <w:r w:rsidRPr="00E27862" w:rsidR="00D16358">
              <w:rPr>
                <w:color w:val="auto"/>
              </w:rPr>
              <w:t xml:space="preserve">be </w:t>
            </w:r>
            <w:r w:rsidRPr="00E27862" w:rsidR="00CF26E9">
              <w:rPr>
                <w:color w:val="auto"/>
              </w:rPr>
              <w:t xml:space="preserve">an effective </w:t>
            </w:r>
            <w:r w:rsidRPr="00E27862" w:rsidR="00496236">
              <w:rPr>
                <w:color w:val="auto"/>
              </w:rPr>
              <w:t>method to support low attaining pupils</w:t>
            </w:r>
            <w:r w:rsidRPr="00E27862" w:rsidR="003B470F">
              <w:rPr>
                <w:color w:val="auto"/>
              </w:rPr>
              <w:t xml:space="preserve"> or those falling behind</w:t>
            </w:r>
            <w:r w:rsidRPr="00E27862">
              <w:rPr>
                <w:color w:val="auto"/>
              </w:rPr>
              <w:t>, both one-to-one</w:t>
            </w:r>
            <w:r w:rsidRPr="00E27862" w:rsidR="00496236">
              <w:rPr>
                <w:color w:val="auto"/>
              </w:rPr>
              <w:t>:</w:t>
            </w:r>
          </w:p>
          <w:p w:rsidRPr="00094874" w:rsidR="00421546" w:rsidP="007B323B" w:rsidRDefault="00A52ECB" w14:paraId="47B330BD" w14:textId="79E9950C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0070C0"/>
              </w:rPr>
            </w:pPr>
            <w:hyperlink w:history="1" r:id="rId16">
              <w:r w:rsidRPr="00094874" w:rsidR="00EF248F">
                <w:rPr>
                  <w:color w:val="0070C0"/>
                  <w:u w:val="single"/>
                </w:rPr>
                <w:t>One to one tuition | EEF (educationendowmentfoundation.org.uk)</w:t>
              </w:r>
            </w:hyperlink>
          </w:p>
          <w:p w:rsidRPr="00E27862" w:rsidR="00EF248F" w:rsidP="007B323B" w:rsidRDefault="00EF248F" w14:paraId="1107DD3B" w14:textId="4FAED350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r w:rsidRPr="00E27862">
              <w:rPr>
                <w:color w:val="auto"/>
              </w:rPr>
              <w:t>And in small groups:</w:t>
            </w:r>
          </w:p>
          <w:p w:rsidRPr="00E27862" w:rsidR="00A45684" w:rsidP="00EF248F" w:rsidRDefault="00A52ECB" w14:paraId="7E164B51" w14:textId="66084BCC">
            <w:pPr>
              <w:suppressAutoHyphens w:val="0"/>
              <w:autoSpaceDN/>
              <w:spacing w:before="60" w:after="120" w:line="240" w:lineRule="auto"/>
              <w:ind w:left="57" w:right="57"/>
              <w:rPr>
                <w:color w:val="auto"/>
                <w:u w:val="single"/>
              </w:rPr>
            </w:pPr>
            <w:hyperlink w:history="1" r:id="rId17">
              <w:r w:rsidRPr="009A7AA4" w:rsidR="007B323B">
                <w:rPr>
                  <w:color w:val="0070C0"/>
                  <w:u w:val="single"/>
                </w:rPr>
                <w:t>Small group tuition | Toolkit Strand | Education Endowment Foundation | EEF</w:t>
              </w:r>
            </w:hyperlink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95351" w:rsidR="005153E1" w:rsidP="00B8060C" w:rsidRDefault="00F423B1" w14:paraId="38546D32" w14:textId="4A462DAF">
            <w:pPr>
              <w:pStyle w:val="TableRowCentered"/>
              <w:jc w:val="left"/>
              <w:rPr>
                <w:color w:val="auto"/>
                <w:szCs w:val="22"/>
              </w:rPr>
            </w:pPr>
            <w:r w:rsidRPr="00295351">
              <w:rPr>
                <w:color w:val="auto"/>
                <w:szCs w:val="22"/>
              </w:rPr>
              <w:t>4</w:t>
            </w:r>
          </w:p>
        </w:tc>
      </w:tr>
      <w:tr w:rsidR="002E7606" w:rsidTr="040DAD7E" w14:paraId="3384DC73" w14:textId="77777777">
        <w:tc>
          <w:tcPr>
            <w:tcW w:w="2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2E7606" w:rsidP="002E7606" w:rsidRDefault="002E7606" w14:paraId="558A5188" w14:textId="58D39DF6">
            <w:pPr>
              <w:pStyle w:val="TableRow"/>
              <w:spacing w:after="120"/>
              <w:jc w:val="center"/>
              <w:rPr>
                <w:rFonts w:cs="Arial"/>
                <w:iCs/>
                <w:color w:val="auto"/>
                <w:lang w:val="en-US"/>
              </w:rPr>
            </w:pPr>
            <w:r>
              <w:rPr>
                <w:rFonts w:cs="Arial"/>
                <w:iCs/>
                <w:color w:val="auto"/>
                <w:lang w:val="en-US"/>
              </w:rPr>
              <w:t>The Brilliant Club Scholars Programme</w:t>
            </w:r>
          </w:p>
        </w:tc>
        <w:tc>
          <w:tcPr>
            <w:tcW w:w="49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06" w:rsidP="007B323B" w:rsidRDefault="00A52ECB" w14:paraId="5A23229C" w14:textId="0C426592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  <w:hyperlink w:history="1" r:id="rId18">
              <w:r w:rsidRPr="00A80A4F" w:rsidR="002E7606">
                <w:rPr>
                  <w:rStyle w:val="Hyperlink"/>
                </w:rPr>
                <w:t>https://thebrilliantclub.org/the-scholars-programme/for-schools/the-programme/</w:t>
              </w:r>
            </w:hyperlink>
          </w:p>
          <w:p w:rsidRPr="00E27862" w:rsidR="002E7606" w:rsidP="007B323B" w:rsidRDefault="002E7606" w14:paraId="3666C445" w14:textId="77FA5887">
            <w:pPr>
              <w:suppressAutoHyphens w:val="0"/>
              <w:autoSpaceDN/>
              <w:spacing w:before="60" w:after="60" w:line="240" w:lineRule="auto"/>
              <w:ind w:left="57" w:right="57"/>
              <w:rPr>
                <w:color w:val="auto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95351" w:rsidR="002E7606" w:rsidP="00B8060C" w:rsidRDefault="002E7606" w14:paraId="1F845A31" w14:textId="77777777">
            <w:pPr>
              <w:pStyle w:val="TableRowCentered"/>
              <w:jc w:val="left"/>
              <w:rPr>
                <w:color w:val="auto"/>
                <w:szCs w:val="22"/>
              </w:rPr>
            </w:pPr>
          </w:p>
        </w:tc>
      </w:tr>
    </w:tbl>
    <w:p w:rsidR="00E66558" w:rsidP="00B20B8A" w:rsidRDefault="009D71E8" w14:paraId="2A7D5532" w14:textId="59A68BC3">
      <w:pPr>
        <w:spacing w:before="480"/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:rsidR="00E66558" w:rsidP="00877501" w:rsidRDefault="0056651D" w14:paraId="2A7D5533" w14:textId="22DC1BD7">
      <w:pPr>
        <w:spacing w:before="240"/>
      </w:pPr>
      <w:r>
        <w:t>Budgeted cost: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3707"/>
        <w:gridCol w:w="1531"/>
      </w:tblGrid>
      <w:tr w:rsidR="00E66558" w:rsidTr="7D098920" w14:paraId="2A7D5537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4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5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6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56651D" w:rsidTr="7D098920" w14:paraId="5F96B5E1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6651D" w:rsidR="0056651D" w:rsidP="0056651D" w:rsidRDefault="002E7606" w14:paraId="7FEE6B75" w14:textId="74C7F808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highlight w:val="yellow"/>
                <w:lang w:val="en-US"/>
              </w:rPr>
            </w:pPr>
            <w:r w:rsidRPr="00E86558">
              <w:rPr>
                <w:iCs/>
                <w:color w:val="auto"/>
                <w:szCs w:val="28"/>
                <w:lang w:val="en-US"/>
              </w:rPr>
              <w:t>Learning Mentor and counsellor provide  specialist intervention and support to identified vulnerable pupils.</w:t>
            </w: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56651D" w:rsidP="0089465A" w:rsidRDefault="0056651D" w14:paraId="789D56B2" w14:textId="77777777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56651D" w:rsidRDefault="002E7606" w14:paraId="4713D9C8" w14:textId="34A3D57A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</w:tr>
      <w:tr w:rsidR="002E7606" w:rsidTr="7D098920" w14:paraId="6F97000B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06" w:rsidP="0056651D" w:rsidRDefault="002E7606" w14:paraId="6E031660" w14:textId="03B9056D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highlight w:val="yellow"/>
                <w:lang w:val="en-US"/>
              </w:rPr>
            </w:pPr>
            <w:r w:rsidRPr="00E86558">
              <w:rPr>
                <w:iCs/>
                <w:color w:val="auto"/>
                <w:szCs w:val="28"/>
                <w:lang w:val="en-US"/>
              </w:rPr>
              <w:t>Family Support work with children and families.</w:t>
            </w: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06" w:rsidP="0089465A" w:rsidRDefault="00A52ECB" w14:paraId="2EC44D1F" w14:textId="13F17C17">
            <w:pPr>
              <w:pStyle w:val="TableRowCentered"/>
              <w:ind w:left="32"/>
              <w:jc w:val="left"/>
              <w:rPr>
                <w:color w:val="auto"/>
              </w:rPr>
            </w:pPr>
            <w:hyperlink w:history="1" r:id="rId19">
              <w:r w:rsidRPr="00A80A4F" w:rsidR="002E7606">
                <w:rPr>
                  <w:rStyle w:val="Hyperlink"/>
                </w:rPr>
                <w:t>https://educationendowmentfoundation.org.uk/education-evidence/teaching-learning-toolkit/parental-engagement</w:t>
              </w:r>
            </w:hyperlink>
          </w:p>
          <w:p w:rsidRPr="00E27862" w:rsidR="002E7606" w:rsidP="0089465A" w:rsidRDefault="002E7606" w14:paraId="077E559E" w14:textId="20DBE3F1">
            <w:pPr>
              <w:pStyle w:val="TableRowCentered"/>
              <w:ind w:left="32"/>
              <w:jc w:val="left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2E7606" w:rsidRDefault="002E7606" w14:paraId="14A741E1" w14:textId="4067E65C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</w:tr>
      <w:tr w:rsidR="00A172FB" w:rsidTr="7D098920" w14:paraId="59C73498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2FB" w:rsidP="0056651D" w:rsidRDefault="009C4D98" w14:paraId="7BBEB852" w14:textId="5528F60C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 w:rsidRPr="007D6E85">
              <w:rPr>
                <w:iCs/>
                <w:color w:val="auto"/>
                <w:szCs w:val="28"/>
                <w:lang w:val="en-US"/>
              </w:rPr>
              <w:t>Whole staff training</w:t>
            </w:r>
            <w:r w:rsidRPr="007D6E85" w:rsidR="0056651D">
              <w:rPr>
                <w:iCs/>
                <w:color w:val="auto"/>
                <w:szCs w:val="28"/>
                <w:lang w:val="en-US"/>
              </w:rPr>
              <w:t xml:space="preserve"> on behaviour management</w:t>
            </w:r>
            <w:r w:rsidRPr="007D6E85" w:rsidR="00924A38">
              <w:rPr>
                <w:iCs/>
                <w:color w:val="auto"/>
                <w:szCs w:val="28"/>
                <w:lang w:val="en-US"/>
              </w:rPr>
              <w:t xml:space="preserve"> </w:t>
            </w:r>
            <w:r w:rsidRPr="007D6E85" w:rsidR="00895E40">
              <w:rPr>
                <w:iCs/>
                <w:color w:val="auto"/>
                <w:szCs w:val="28"/>
                <w:lang w:val="en-US"/>
              </w:rPr>
              <w:t>with the aim of developing our school ethos and improving behaviour across school.</w:t>
            </w:r>
          </w:p>
          <w:p w:rsidR="007D6E85" w:rsidP="0056651D" w:rsidRDefault="007D6E85" w14:paraId="1F741CB4" w14:textId="214A84CB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  <w:r>
              <w:rPr>
                <w:iCs/>
                <w:color w:val="auto"/>
                <w:szCs w:val="28"/>
                <w:lang w:val="en-US"/>
              </w:rPr>
              <w:t>Implementation of Regulation Stations for each class</w:t>
            </w:r>
          </w:p>
          <w:p w:rsidRPr="00E27862" w:rsidR="00E86558" w:rsidP="0056651D" w:rsidRDefault="00E86558" w14:paraId="7A957210" w14:textId="5BCA5228">
            <w:pPr>
              <w:pStyle w:val="TableRow"/>
              <w:spacing w:after="120"/>
              <w:ind w:left="29"/>
              <w:rPr>
                <w:iCs/>
                <w:color w:val="auto"/>
                <w:szCs w:val="28"/>
                <w:lang w:val="en-US"/>
              </w:rPr>
            </w:pP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A172FB" w:rsidP="0089465A" w:rsidRDefault="00834823" w14:paraId="58865AD8" w14:textId="2D3FF72D">
            <w:pPr>
              <w:pStyle w:val="TableRowCentered"/>
              <w:ind w:left="32"/>
              <w:jc w:val="left"/>
              <w:rPr>
                <w:color w:val="auto"/>
              </w:rPr>
            </w:pPr>
            <w:r w:rsidRPr="00E27862">
              <w:rPr>
                <w:color w:val="auto"/>
              </w:rPr>
              <w:t>B</w:t>
            </w:r>
            <w:r w:rsidRPr="00E27862" w:rsidR="00895E40">
              <w:rPr>
                <w:color w:val="auto"/>
              </w:rPr>
              <w:t>oth targeted interventions</w:t>
            </w:r>
            <w:r w:rsidRPr="00E27862" w:rsidR="009507D7">
              <w:rPr>
                <w:color w:val="auto"/>
              </w:rPr>
              <w:t xml:space="preserve"> and universal approaches can have</w:t>
            </w:r>
            <w:r w:rsidRPr="00E27862" w:rsidR="005053BE">
              <w:rPr>
                <w:color w:val="auto"/>
              </w:rPr>
              <w:t xml:space="preserve"> </w:t>
            </w:r>
            <w:r w:rsidRPr="00E27862" w:rsidR="009507D7">
              <w:rPr>
                <w:color w:val="auto"/>
              </w:rPr>
              <w:t>positive overall effect</w:t>
            </w:r>
            <w:r w:rsidRPr="00E27862" w:rsidR="00366172">
              <w:rPr>
                <w:color w:val="auto"/>
              </w:rPr>
              <w:t>s:</w:t>
            </w:r>
          </w:p>
          <w:p w:rsidRPr="00E27862" w:rsidR="009B020C" w:rsidP="00F87B43" w:rsidRDefault="00A52ECB" w14:paraId="5245D0FD" w14:textId="0DAC6ABE">
            <w:pPr>
              <w:pStyle w:val="TableRowCentered"/>
              <w:spacing w:after="120"/>
              <w:jc w:val="left"/>
              <w:rPr>
                <w:color w:val="auto"/>
              </w:rPr>
            </w:pPr>
            <w:hyperlink w:history="1" r:id="rId20">
              <w:r w:rsidRPr="009A7AA4" w:rsidR="009B020C">
                <w:rPr>
                  <w:color w:val="0070C0"/>
                  <w:szCs w:val="24"/>
                  <w:u w:val="single"/>
                </w:rPr>
                <w:t>Behaviour interventions | EEF (educationendowmentfoundation.org.uk)</w:t>
              </w:r>
            </w:hyperlink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A172FB" w:rsidRDefault="002827F4" w14:paraId="5B6F5971" w14:textId="6A57C6B7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E27862">
              <w:rPr>
                <w:color w:val="auto"/>
                <w:sz w:val="22"/>
              </w:rPr>
              <w:t>5</w:t>
            </w:r>
          </w:p>
        </w:tc>
      </w:tr>
      <w:tr w:rsidRPr="00380251" w:rsidR="004C2DBA" w:rsidTr="7D098920" w14:paraId="37A514BF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4C2DBA" w:rsidP="7D098920" w:rsidRDefault="64286790" w14:paraId="6EF7183B" w14:textId="52C5120F">
            <w:pPr>
              <w:pStyle w:val="TableRow"/>
              <w:spacing w:after="120"/>
              <w:ind w:left="29"/>
              <w:rPr>
                <w:color w:val="auto"/>
                <w:lang w:val="en-US"/>
              </w:rPr>
            </w:pPr>
            <w:r w:rsidRPr="00E86558">
              <w:rPr>
                <w:color w:val="auto"/>
                <w:lang w:val="en-US"/>
              </w:rPr>
              <w:t xml:space="preserve">Embedding principles </w:t>
            </w:r>
            <w:r w:rsidRPr="00E86558" w:rsidR="4AEC84EA">
              <w:rPr>
                <w:color w:val="auto"/>
                <w:lang w:val="en-US"/>
              </w:rPr>
              <w:t xml:space="preserve">of </w:t>
            </w:r>
            <w:r w:rsidRPr="00E86558" w:rsidR="3F9887B8">
              <w:rPr>
                <w:color w:val="auto"/>
                <w:lang w:val="en-US"/>
              </w:rPr>
              <w:t>good practice set out</w:t>
            </w:r>
            <w:r w:rsidRPr="00E86558">
              <w:rPr>
                <w:color w:val="auto"/>
                <w:lang w:val="en-US"/>
              </w:rPr>
              <w:t xml:space="preserve"> in the DfE</w:t>
            </w:r>
            <w:r w:rsidRPr="00E86558" w:rsidR="3F9887B8">
              <w:rPr>
                <w:color w:val="auto"/>
                <w:lang w:val="en-US"/>
              </w:rPr>
              <w:t>’s</w:t>
            </w:r>
            <w:r w:rsidRPr="00E86558">
              <w:rPr>
                <w:color w:val="auto"/>
                <w:lang w:val="en-US"/>
              </w:rPr>
              <w:t xml:space="preserve"> </w:t>
            </w:r>
            <w:hyperlink r:id="rId21">
              <w:r w:rsidRPr="00E86558">
                <w:rPr>
                  <w:rStyle w:val="Hyperlink"/>
                  <w:color w:val="0070C0"/>
                  <w:lang w:val="en-US"/>
                </w:rPr>
                <w:t>Improving School Attendance</w:t>
              </w:r>
            </w:hyperlink>
            <w:r w:rsidRPr="00E86558">
              <w:rPr>
                <w:color w:val="0070C0"/>
                <w:lang w:val="en-US"/>
              </w:rPr>
              <w:t xml:space="preserve"> </w:t>
            </w:r>
            <w:r w:rsidRPr="00E86558" w:rsidR="3F9887B8">
              <w:rPr>
                <w:color w:val="auto"/>
                <w:lang w:val="en-US"/>
              </w:rPr>
              <w:t>advice</w:t>
            </w:r>
            <w:r w:rsidRPr="00E86558">
              <w:rPr>
                <w:color w:val="auto"/>
                <w:lang w:val="en-US"/>
              </w:rPr>
              <w:t>.</w:t>
            </w: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4C2DBA" w:rsidP="00DB2557" w:rsidRDefault="004C2DBA" w14:paraId="18698FB7" w14:textId="302F8302">
            <w:pPr>
              <w:pStyle w:val="TableRowCentered"/>
              <w:jc w:val="left"/>
              <w:rPr>
                <w:color w:val="auto"/>
              </w:rPr>
            </w:pPr>
            <w:r w:rsidRPr="00E27862">
              <w:rPr>
                <w:color w:val="auto"/>
              </w:rPr>
              <w:t xml:space="preserve">The DfE guidance has been informed by engagement with schools that have significantly reduced </w:t>
            </w:r>
            <w:r w:rsidRPr="00E27862" w:rsidR="009E7DEE">
              <w:rPr>
                <w:color w:val="auto"/>
              </w:rPr>
              <w:t>levels of</w:t>
            </w:r>
            <w:r w:rsidRPr="00E27862" w:rsidR="00960901">
              <w:rPr>
                <w:color w:val="auto"/>
              </w:rPr>
              <w:t xml:space="preserve"> absence and</w:t>
            </w:r>
            <w:r w:rsidRPr="00E27862">
              <w:rPr>
                <w:color w:val="auto"/>
              </w:rPr>
              <w:t xml:space="preserve"> persistent absence. </w:t>
            </w:r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4C2DBA" w:rsidP="00DB2557" w:rsidRDefault="004C2DBA" w14:paraId="24BB11C2" w14:textId="77777777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E27862">
              <w:rPr>
                <w:color w:val="auto"/>
                <w:sz w:val="22"/>
              </w:rPr>
              <w:t>6</w:t>
            </w:r>
          </w:p>
        </w:tc>
      </w:tr>
      <w:tr w:rsidRPr="00380251" w:rsidR="002E7606" w:rsidTr="7D098920" w14:paraId="3E1288F2" w14:textId="77777777"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6651D" w:rsidR="002E7606" w:rsidP="002E7606" w:rsidRDefault="002E7606" w14:paraId="289BDDF3" w14:textId="6F98C60C">
            <w:pPr>
              <w:pStyle w:val="TableRow"/>
              <w:spacing w:after="120"/>
              <w:ind w:left="29"/>
              <w:jc w:val="center"/>
              <w:rPr>
                <w:iCs/>
                <w:color w:val="auto"/>
                <w:szCs w:val="28"/>
                <w:highlight w:val="yellow"/>
                <w:lang w:val="en-US"/>
              </w:rPr>
            </w:pPr>
            <w:r w:rsidRPr="00E86558">
              <w:rPr>
                <w:iCs/>
                <w:color w:val="auto"/>
                <w:szCs w:val="28"/>
                <w:lang w:val="en-US"/>
              </w:rPr>
              <w:t>BESD pupil are supported by a behaviour team who support then to make the right choices.</w:t>
            </w:r>
          </w:p>
        </w:tc>
        <w:tc>
          <w:tcPr>
            <w:tcW w:w="3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606" w:rsidP="00DB2557" w:rsidRDefault="00A52ECB" w14:paraId="49F6B40A" w14:textId="5BBE6F0B">
            <w:pPr>
              <w:pStyle w:val="TableRowCentered"/>
              <w:jc w:val="left"/>
              <w:rPr>
                <w:color w:val="auto"/>
              </w:rPr>
            </w:pPr>
            <w:hyperlink w:history="1" r:id="rId22">
              <w:r w:rsidRPr="00A80A4F" w:rsidR="002E7606">
                <w:rPr>
                  <w:rStyle w:val="Hyperlink"/>
                </w:rPr>
                <w:t>https://educationendowmentfoundation.org.uk/education-evidence/teaching-learning-toolkit/behaviour-interventions</w:t>
              </w:r>
            </w:hyperlink>
          </w:p>
          <w:p w:rsidRPr="00E27862" w:rsidR="002E7606" w:rsidP="00DB2557" w:rsidRDefault="002E7606" w14:paraId="7E9E7BBB" w14:textId="5BF7BC11">
            <w:pPr>
              <w:pStyle w:val="TableRowCentered"/>
              <w:jc w:val="left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27862" w:rsidR="002E7606" w:rsidP="00DB2557" w:rsidRDefault="002E7606" w14:paraId="20FDA793" w14:textId="0DB3A919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</w:tr>
    </w:tbl>
    <w:p w:rsidR="00877501" w:rsidP="00877501" w:rsidRDefault="00877501" w14:paraId="00291E16" w14:textId="77777777">
      <w:pPr>
        <w:spacing w:after="120"/>
        <w:rPr>
          <w:b/>
          <w:bCs/>
          <w:color w:val="104F75"/>
          <w:sz w:val="28"/>
          <w:szCs w:val="28"/>
        </w:rPr>
      </w:pPr>
    </w:p>
    <w:p w:rsidR="00E66558" w:rsidP="00877501" w:rsidRDefault="009D71E8" w14:paraId="2A7D5541" w14:textId="4A4F3878">
      <w:r>
        <w:rPr>
          <w:b/>
          <w:bCs/>
          <w:color w:val="104F75"/>
          <w:sz w:val="28"/>
          <w:szCs w:val="28"/>
        </w:rPr>
        <w:t xml:space="preserve">Total budgeted cost: </w:t>
      </w:r>
    </w:p>
    <w:p w:rsidRPr="00087BCA" w:rsidR="00E66558" w:rsidRDefault="009D71E8" w14:paraId="2A7D5542" w14:textId="77777777">
      <w:pPr>
        <w:pStyle w:val="Heading1"/>
        <w:rPr>
          <w:color w:val="1F497D" w:themeColor="text2"/>
          <w:szCs w:val="36"/>
        </w:rPr>
      </w:pPr>
      <w:r>
        <w:lastRenderedPageBreak/>
        <w:t xml:space="preserve">Part B: Review of outcomes in the previous academic </w:t>
      </w:r>
      <w:r w:rsidRPr="00087BCA">
        <w:rPr>
          <w:color w:val="1F497D" w:themeColor="text2"/>
          <w:szCs w:val="36"/>
        </w:rPr>
        <w:t>year</w:t>
      </w:r>
    </w:p>
    <w:p w:rsidRPr="00087BCA" w:rsidR="00E66558" w:rsidP="00087BCA" w:rsidRDefault="009D71E8" w14:paraId="2A7D5543" w14:textId="77777777">
      <w:pPr>
        <w:pStyle w:val="NoSpacing"/>
        <w:rPr>
          <w:b/>
          <w:color w:val="1F497D" w:themeColor="text2"/>
          <w:sz w:val="36"/>
          <w:szCs w:val="36"/>
        </w:rPr>
      </w:pPr>
      <w:r w:rsidRPr="00087BCA">
        <w:rPr>
          <w:b/>
          <w:color w:val="1F497D" w:themeColor="text2"/>
          <w:sz w:val="36"/>
          <w:szCs w:val="36"/>
        </w:rPr>
        <w:t>Pupil premium strategy outcomes</w:t>
      </w:r>
    </w:p>
    <w:p w:rsidR="00E66558" w:rsidP="00087BCA" w:rsidRDefault="009D71E8" w14:paraId="2A7D5544" w14:textId="57E5BBC5">
      <w:pPr>
        <w:pStyle w:val="NoSpacing"/>
      </w:pPr>
      <w:r>
        <w:t>This details the impact that our pupil premium ac</w:t>
      </w:r>
      <w:r w:rsidR="00584FB8">
        <w:t>tivity had on pupils in the 2021 to 2022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Tr="00087BCA" w14:paraId="2A7D5547" w14:textId="77777777">
        <w:trPr>
          <w:trHeight w:val="11779"/>
        </w:trPr>
        <w:tc>
          <w:tcPr>
            <w:tcW w:w="94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D014B" w:rsidR="00ED0522" w:rsidP="00584FB8" w:rsidRDefault="00ED0522" w14:paraId="69B2B5FA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color w:val="000000"/>
                <w:sz w:val="22"/>
                <w:szCs w:val="22"/>
              </w:rPr>
            </w:pPr>
            <w:r w:rsidRPr="009D014B">
              <w:rPr>
                <w:rFonts w:cs="Arial"/>
                <w:b/>
                <w:color w:val="000000"/>
                <w:sz w:val="22"/>
                <w:szCs w:val="22"/>
              </w:rPr>
              <w:t>Phonics</w:t>
            </w:r>
          </w:p>
          <w:p w:rsidRPr="00584FB8" w:rsidR="00584FB8" w:rsidP="00584FB8" w:rsidRDefault="00584FB8" w14:paraId="0463F3E0" w14:textId="05460176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Phonics lead has carried out phonics drop ins. Sessions are well-paced and all staff are following SSP programme. Individual teachers/LSAs have been given support and advice in working with specific groups.  </w:t>
            </w:r>
          </w:p>
          <w:p w:rsidRPr="00584FB8" w:rsidR="00584FB8" w:rsidP="00584FB8" w:rsidRDefault="00584FB8" w14:paraId="63429860" w14:textId="04E140BF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Phonetically decodable reading books are regularly provided to support children in Year R and 1. Teachers ensure PPM children change their books and that books are regularly shared with an adult. </w:t>
            </w:r>
          </w:p>
          <w:p w:rsidRPr="00584FB8" w:rsidR="00584FB8" w:rsidP="00584FB8" w:rsidRDefault="00584FB8" w14:paraId="00F7BC56" w14:textId="0DE98755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 </w:t>
            </w:r>
            <w:r w:rsidR="00087BCA">
              <w:rPr>
                <w:rFonts w:cs="Arial"/>
                <w:color w:val="000000"/>
                <w:sz w:val="22"/>
                <w:szCs w:val="22"/>
                <w:u w:val="single"/>
              </w:rPr>
              <w:t>Year</w:t>
            </w:r>
            <w:r w:rsidRPr="009D014B">
              <w:rPr>
                <w:rFonts w:cs="Arial"/>
                <w:color w:val="000000"/>
                <w:sz w:val="22"/>
                <w:szCs w:val="22"/>
                <w:u w:val="single"/>
              </w:rPr>
              <w:t>1 and 2</w:t>
            </w:r>
            <w:r w:rsidRPr="009D014B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Pr="00584FB8" w:rsidR="00584FB8" w:rsidP="00584FB8" w:rsidRDefault="00584FB8" w14:paraId="3B00E8A3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Phonics intervention groups set up for children not achieving ARE.  </w:t>
            </w:r>
          </w:p>
          <w:p w:rsidRPr="00584FB8" w:rsidR="00584FB8" w:rsidP="00584FB8" w:rsidRDefault="00584FB8" w14:paraId="2CE9944D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HLTA intervention groups for cusp children to fill gaps and secure knowledge. </w:t>
            </w:r>
          </w:p>
          <w:p w:rsidRPr="00584FB8" w:rsidR="00584FB8" w:rsidP="00584FB8" w:rsidRDefault="00584FB8" w14:paraId="323DF56D" w14:textId="41CE5C15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9D014B">
              <w:rPr>
                <w:rFonts w:cs="Arial"/>
                <w:color w:val="000000"/>
                <w:sz w:val="22"/>
                <w:szCs w:val="22"/>
                <w:u w:val="single"/>
              </w:rPr>
              <w:t>Year 1 </w:t>
            </w:r>
            <w:r w:rsidRPr="009D014B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Pr="00584FB8" w:rsidR="00584FB8" w:rsidP="00584FB8" w:rsidRDefault="00584FB8" w14:paraId="0DFD2E58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88% PPM children made progress from starting points.  </w:t>
            </w:r>
          </w:p>
          <w:p w:rsidRPr="00584FB8" w:rsidR="00584FB8" w:rsidP="00584FB8" w:rsidRDefault="00584FB8" w14:paraId="44E78DFB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18% PPM children made significant progress from starting points.  </w:t>
            </w:r>
          </w:p>
          <w:p w:rsidRPr="00584FB8" w:rsidR="00584FB8" w:rsidP="00584FB8" w:rsidRDefault="00584FB8" w14:paraId="023EAFE0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6% maintained high pass mark  </w:t>
            </w:r>
          </w:p>
          <w:p w:rsidRPr="00584FB8" w:rsidR="00584FB8" w:rsidP="00584FB8" w:rsidRDefault="00584FB8" w14:paraId="39EDE81C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000000"/>
                <w:sz w:val="22"/>
                <w:szCs w:val="22"/>
              </w:rPr>
              <w:t>12% made no progress – both children SEND/EAL </w:t>
            </w:r>
          </w:p>
          <w:p w:rsidRPr="00584FB8" w:rsidR="00584FB8" w:rsidP="00584FB8" w:rsidRDefault="00087BCA" w14:paraId="3144D251" w14:textId="7EEE9934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 </w:t>
            </w:r>
            <w:r w:rsidRPr="009D014B" w:rsidR="00584FB8">
              <w:rPr>
                <w:rFonts w:cs="Arial"/>
                <w:color w:val="000000"/>
                <w:sz w:val="22"/>
                <w:szCs w:val="22"/>
                <w:u w:val="single"/>
              </w:rPr>
              <w:t xml:space="preserve">Year 2  </w:t>
            </w:r>
            <w:r w:rsidRPr="009D014B" w:rsidR="00584FB8">
              <w:rPr>
                <w:rFonts w:cs="Arial"/>
                <w:color w:val="000000"/>
                <w:sz w:val="22"/>
                <w:szCs w:val="22"/>
              </w:rPr>
              <w:t>(those who did not pass Phonics Screening in Year 1) </w:t>
            </w:r>
          </w:p>
          <w:p w:rsidRPr="00584FB8" w:rsidR="00584FB8" w:rsidP="00584FB8" w:rsidRDefault="00584FB8" w14:paraId="3845373B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auto"/>
                <w:sz w:val="22"/>
                <w:szCs w:val="22"/>
              </w:rPr>
              <w:t>59% PPM children made progress from starting points. </w:t>
            </w:r>
          </w:p>
          <w:p w:rsidRPr="00584FB8" w:rsidR="00584FB8" w:rsidP="00584FB8" w:rsidRDefault="00584FB8" w14:paraId="5264A90D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18"/>
                <w:szCs w:val="18"/>
              </w:rPr>
            </w:pPr>
            <w:r w:rsidRPr="009D014B">
              <w:rPr>
                <w:rFonts w:cs="Arial"/>
                <w:color w:val="auto"/>
                <w:sz w:val="22"/>
                <w:szCs w:val="22"/>
              </w:rPr>
              <w:t>18% PPM children made significant progress from starting points. </w:t>
            </w:r>
          </w:p>
          <w:p w:rsidRPr="009D014B" w:rsidR="00584FB8" w:rsidP="00584FB8" w:rsidRDefault="00584FB8" w14:paraId="7AB630A9" w14:textId="6B9B593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  <w:r w:rsidRPr="009D014B">
              <w:rPr>
                <w:rFonts w:cs="Arial"/>
                <w:color w:val="auto"/>
                <w:sz w:val="22"/>
                <w:szCs w:val="22"/>
              </w:rPr>
              <w:t>35% PPM children made little progress – All children SEND and 1 also EAL </w:t>
            </w:r>
          </w:p>
          <w:p w:rsidRPr="009D014B" w:rsidR="00ED0522" w:rsidP="00584FB8" w:rsidRDefault="00ED0522" w14:paraId="10E884EC" w14:textId="771AC183">
            <w:pPr>
              <w:suppressAutoHyphens w:val="0"/>
              <w:autoSpaceDN/>
              <w:spacing w:after="0" w:line="240" w:lineRule="auto"/>
              <w:textAlignment w:val="baseline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Pr="009D014B" w:rsidR="00ED0522" w:rsidP="009D014B" w:rsidRDefault="00ED0522" w14:paraId="2E98252D" w14:textId="26D393CA">
            <w:pPr>
              <w:pStyle w:val="NoSpacing"/>
              <w:rPr>
                <w:b/>
              </w:rPr>
            </w:pPr>
            <w:r w:rsidRPr="009D014B">
              <w:rPr>
                <w:b/>
              </w:rPr>
              <w:t>The Write Stuff</w:t>
            </w:r>
            <w:r w:rsidR="009D014B">
              <w:rPr>
                <w:b/>
              </w:rPr>
              <w:t>- Evaluation</w:t>
            </w:r>
          </w:p>
          <w:p w:rsidRPr="009D014B" w:rsidR="009D014B" w:rsidP="001B0E4C" w:rsidRDefault="009D014B" w14:paraId="66EB8DCF" w14:textId="77777777">
            <w:pPr>
              <w:pStyle w:val="NoSpacing"/>
            </w:pPr>
            <w:r w:rsidRP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All teaching staff are now trained, including HLTAs and Cover supervisors. </w:t>
            </w:r>
            <w:r w:rsidRP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9D014B" w:rsidP="001B0E4C" w:rsidRDefault="009D014B" w14:paraId="75AC3B54" w14:textId="77777777">
            <w:pPr>
              <w:pStyle w:val="NoSpacing"/>
            </w:pPr>
            <w:r w:rsidRP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Preliminary triangulated monitoring shows that:</w:t>
            </w:r>
            <w:r w:rsidRP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9D014B" w:rsidP="001B0E4C" w:rsidRDefault="009D014B" w14:paraId="6B6CEC64" w14:textId="77777777">
            <w:pPr>
              <w:pStyle w:val="NoSpacing"/>
            </w:pPr>
            <w:r w:rsidRP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- learning environments are consistent and support the learning activities.</w:t>
            </w:r>
            <w:r w:rsidRP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9D014B" w:rsidP="001B0E4C" w:rsidRDefault="009D014B" w14:paraId="4CB5A14D" w14:textId="77777777">
            <w:pPr>
              <w:pStyle w:val="NoSpacing"/>
            </w:pPr>
            <w:r w:rsidRP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- Teachers feel increasingly confident about teaching writing</w:t>
            </w:r>
            <w:r w:rsidRP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9D014B" w:rsidP="001B0E4C" w:rsidRDefault="009D014B" w14:paraId="6EF9F33E" w14:textId="77777777">
            <w:pPr>
              <w:pStyle w:val="NoSpacing"/>
            </w:pPr>
            <w:r w:rsidRP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- Pupils are engaged and enthusiastic about writing</w:t>
            </w:r>
            <w:r w:rsidRP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9D014B" w:rsidP="001B0E4C" w:rsidRDefault="00147492" w14:paraId="05F57D6D" w14:textId="4FD07D51">
            <w:pPr>
              <w:pStyle w:val="NoSpacing"/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</w:rPr>
              <w:t xml:space="preserve">- Lessons are </w:t>
            </w:r>
            <w:r w:rsidRPr="009D014B" w:rsidR="009D014B">
              <w:rPr>
                <w:rStyle w:val="normaltextrun"/>
                <w:rFonts w:cs="Arial"/>
                <w:color w:val="000000"/>
                <w:sz w:val="22"/>
                <w:szCs w:val="22"/>
              </w:rPr>
              <w:t>well planned and support all learners. </w:t>
            </w:r>
            <w:r w:rsidRPr="009D014B" w:rsidR="009D014B">
              <w:rPr>
                <w:rStyle w:val="eop"/>
                <w:rFonts w:cs="Arial"/>
                <w:color w:val="000000"/>
                <w:sz w:val="22"/>
                <w:szCs w:val="22"/>
              </w:rPr>
              <w:t> </w:t>
            </w:r>
          </w:p>
          <w:p w:rsidRPr="009D014B" w:rsidR="00ED0522" w:rsidP="00584FB8" w:rsidRDefault="00ED0522" w14:paraId="44690767" w14:textId="701711BC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color w:val="auto"/>
                <w:sz w:val="22"/>
                <w:szCs w:val="22"/>
              </w:rPr>
            </w:pPr>
          </w:p>
          <w:p w:rsidRPr="001B0E4C" w:rsidR="00B1504B" w:rsidP="00B1504B" w:rsidRDefault="00ED0522" w14:paraId="5AEE79AD" w14:textId="6EB82514">
            <w:pPr>
              <w:suppressAutoHyphens w:val="0"/>
              <w:autoSpaceDN/>
              <w:spacing w:after="0" w:line="240" w:lineRule="auto"/>
              <w:textAlignment w:val="baseline"/>
              <w:rPr>
                <w:rStyle w:val="normaltextrun"/>
                <w:rFonts w:cs="Arial"/>
                <w:b/>
                <w:color w:val="auto"/>
                <w:sz w:val="22"/>
                <w:szCs w:val="22"/>
              </w:rPr>
            </w:pPr>
            <w:r w:rsidRPr="009D014B">
              <w:rPr>
                <w:rFonts w:cs="Arial"/>
                <w:b/>
                <w:color w:val="auto"/>
                <w:sz w:val="22"/>
                <w:szCs w:val="22"/>
              </w:rPr>
              <w:t xml:space="preserve">Attendance </w:t>
            </w:r>
            <w:r w:rsidR="001B0E4C">
              <w:rPr>
                <w:rFonts w:cs="Arial"/>
                <w:b/>
                <w:color w:val="auto"/>
                <w:sz w:val="22"/>
                <w:szCs w:val="22"/>
              </w:rPr>
              <w:t xml:space="preserve">- </w:t>
            </w:r>
            <w:r w:rsidRPr="00B1504B" w:rsidR="00B1504B">
              <w:rPr>
                <w:rStyle w:val="normaltextrun"/>
                <w:rFonts w:cs="Arial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June 2022</w:t>
            </w:r>
          </w:p>
          <w:p w:rsidRPr="00B1504B" w:rsidR="00B1504B" w:rsidP="00B1504B" w:rsidRDefault="00B1504B" w14:paraId="60E98106" w14:textId="085791E2">
            <w:pPr>
              <w:suppressAutoHyphens w:val="0"/>
              <w:autoSpaceDN/>
              <w:spacing w:after="0" w:line="240" w:lineRule="auto"/>
              <w:textAlignment w:val="baseline"/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1504B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PP attendance  90.64%</w:t>
            </w:r>
          </w:p>
          <w:p w:rsidR="001B0E4C" w:rsidP="001B0E4C" w:rsidRDefault="00B1504B" w14:paraId="60EC078D" w14:textId="7905DD7F">
            <w:pPr>
              <w:suppressAutoHyphens w:val="0"/>
              <w:autoSpaceDN/>
              <w:spacing w:after="0" w:line="240" w:lineRule="auto"/>
              <w:textAlignment w:val="baseline"/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B1504B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Non PP is 91.94%</w:t>
            </w:r>
          </w:p>
          <w:p w:rsidRPr="001B0E4C" w:rsidR="001B0E4C" w:rsidP="001B0E4C" w:rsidRDefault="001B0E4C" w14:paraId="710F4AF8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Pr="001B0E4C" w:rsidR="001B0E4C" w:rsidP="163A48CE" w:rsidRDefault="001B0E4C" w14:paraId="311CE31B" w14:textId="79E2B52F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color w:val="auto"/>
                <w:sz w:val="22"/>
                <w:szCs w:val="22"/>
              </w:rPr>
            </w:pPr>
            <w:r w:rsidRPr="001B0E4C">
              <w:rPr>
                <w:rFonts w:cs="Arial"/>
                <w:b/>
                <w:color w:val="auto"/>
                <w:sz w:val="22"/>
                <w:szCs w:val="22"/>
              </w:rPr>
              <w:t>Cause for concerns received 2021-2022 in relation to Pupil Premium and SEND</w:t>
            </w:r>
          </w:p>
          <w:tbl>
            <w:tblPr>
              <w:tblW w:w="71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3100"/>
              <w:gridCol w:w="960"/>
            </w:tblGrid>
            <w:tr w:rsidRPr="001B0E4C" w:rsidR="001B0E4C" w:rsidTr="001B0E4C" w14:paraId="39D591A8" w14:textId="7777777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Pr="001B0E4C" w:rsidR="001B0E4C" w:rsidP="001B0E4C" w:rsidRDefault="001B0E4C" w14:paraId="5AD4A9EF" w14:textId="04B17F98">
                  <w:pPr>
                    <w:suppressAutoHyphens w:val="0"/>
                    <w:autoSpaceDN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Pr="001B0E4C" w:rsidR="001B0E4C" w:rsidP="001B0E4C" w:rsidRDefault="001B0E4C" w14:paraId="2B881852" w14:textId="77777777">
                  <w:pPr>
                    <w:suppressAutoHyphens w:val="0"/>
                    <w:autoSpaceDN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Pr="001B0E4C" w:rsidR="001B0E4C" w:rsidP="001B0E4C" w:rsidRDefault="001B0E4C" w14:paraId="1F19BF88" w14:textId="77777777">
                  <w:pPr>
                    <w:suppressAutoHyphens w:val="0"/>
                    <w:autoSpaceDN/>
                    <w:spacing w:after="0" w:line="240" w:lineRule="auto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289"/>
              <w:tblOverlap w:val="never"/>
              <w:tblW w:w="849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2254"/>
              <w:gridCol w:w="1091"/>
              <w:gridCol w:w="1091"/>
              <w:gridCol w:w="1091"/>
              <w:gridCol w:w="1091"/>
            </w:tblGrid>
            <w:tr w:rsidRPr="00D0400D" w:rsidR="001B0E4C" w:rsidTr="004C001D" w14:paraId="6C5B56F2" w14:textId="77777777">
              <w:trPr>
                <w:trHeight w:val="300"/>
              </w:trPr>
              <w:tc>
                <w:tcPr>
                  <w:tcW w:w="18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236FECC1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2021-2022</w:t>
                  </w: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17DA7DE9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Cause for Concerns 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341D064C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Male 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5887635B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Female 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5CFB7A6A" w14:textId="77777777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>PP</w:t>
                  </w:r>
                </w:p>
              </w:tc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369424FA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SEND </w:t>
                  </w:r>
                </w:p>
              </w:tc>
            </w:tr>
            <w:tr w:rsidRPr="00D0400D" w:rsidR="001B0E4C" w:rsidTr="004C001D" w14:paraId="7DC9DCA6" w14:textId="77777777">
              <w:trPr>
                <w:trHeight w:val="300"/>
              </w:trPr>
              <w:tc>
                <w:tcPr>
                  <w:tcW w:w="18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072370BD" w14:textId="77777777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22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75A8A8A5" w14:textId="777777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color w:val="000000"/>
                    </w:rPr>
                    <w:t>254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625AC5AA" w14:textId="777777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color w:val="000000"/>
                    </w:rPr>
                    <w:t>165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4F5DF12F" w14:textId="777777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color w:val="000000"/>
                    </w:rPr>
                    <w:t>98</w:t>
                  </w:r>
                </w:p>
              </w:tc>
              <w:tc>
                <w:tcPr>
                  <w:tcW w:w="10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61FA7D86" w14:textId="777777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color w:val="000000"/>
                    </w:rPr>
                    <w:t>121</w:t>
                  </w:r>
                </w:p>
              </w:tc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Pr="00D0400D" w:rsidR="001B0E4C" w:rsidP="001B0E4C" w:rsidRDefault="001B0E4C" w14:paraId="61AE7BA2" w14:textId="77777777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D0400D">
                    <w:rPr>
                      <w:rFonts w:ascii="Calibri" w:hAnsi="Calibri" w:cs="Calibri"/>
                      <w:color w:val="000000"/>
                    </w:rPr>
                    <w:t>133</w:t>
                  </w:r>
                </w:p>
              </w:tc>
            </w:tr>
          </w:tbl>
          <w:p w:rsidRPr="00087BCA" w:rsidR="00584FB8" w:rsidP="00584FB8" w:rsidRDefault="00087BCA" w14:paraId="68DD066C" w14:textId="6141399B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b/>
                <w:color w:val="auto"/>
                <w:sz w:val="22"/>
                <w:szCs w:val="22"/>
              </w:rPr>
            </w:pPr>
            <w:r w:rsidRPr="00087BCA">
              <w:rPr>
                <w:rFonts w:cs="Arial"/>
                <w:b/>
                <w:color w:val="auto"/>
                <w:sz w:val="22"/>
                <w:szCs w:val="22"/>
              </w:rPr>
              <w:t>Learning Mentor Referrals</w:t>
            </w:r>
          </w:p>
          <w:p w:rsidRPr="001B0E4C" w:rsidR="00087BCA" w:rsidP="00584FB8" w:rsidRDefault="00087BCA" w14:paraId="1E4BE014" w14:textId="77777777">
            <w:pPr>
              <w:suppressAutoHyphens w:val="0"/>
              <w:autoSpaceDN/>
              <w:spacing w:after="0" w:line="240" w:lineRule="auto"/>
              <w:textAlignment w:val="baseline"/>
              <w:rPr>
                <w:rFonts w:cs="Arial"/>
                <w:color w:val="auto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1524"/>
              <w:gridCol w:w="1657"/>
              <w:gridCol w:w="2821"/>
              <w:gridCol w:w="1444"/>
            </w:tblGrid>
            <w:tr w:rsidRPr="00926D9E" w:rsidR="00087BCA" w:rsidTr="004C001D" w14:paraId="1B415E51" w14:textId="77777777">
              <w:trPr>
                <w:trHeight w:val="174"/>
              </w:trPr>
              <w:tc>
                <w:tcPr>
                  <w:tcW w:w="1524" w:type="dxa"/>
                  <w:noWrap/>
                  <w:hideMark/>
                </w:tcPr>
                <w:p w:rsidRPr="004C001D" w:rsidR="00087BCA" w:rsidP="004C001D" w:rsidRDefault="004C001D" w14:paraId="68241CF4" w14:textId="4291F109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4C001D">
                    <w:rPr>
                      <w:rFonts w:asciiTheme="minorHAnsi" w:hAnsiTheme="minorHAnsi" w:cstheme="minorHAnsi"/>
                      <w:b/>
                    </w:rPr>
                    <w:t>2021-2022</w:t>
                  </w:r>
                </w:p>
              </w:tc>
              <w:tc>
                <w:tcPr>
                  <w:tcW w:w="1524" w:type="dxa"/>
                  <w:noWrap/>
                  <w:hideMark/>
                </w:tcPr>
                <w:p w:rsidRPr="004C001D" w:rsidR="00087BCA" w:rsidP="004C001D" w:rsidRDefault="00087BCA" w14:paraId="4C77B01B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4C001D">
                    <w:rPr>
                      <w:rFonts w:asciiTheme="minorHAnsi" w:hAnsiTheme="minorHAnsi" w:cstheme="minorHAnsi"/>
                      <w:b/>
                    </w:rPr>
                    <w:t xml:space="preserve">Male </w:t>
                  </w:r>
                </w:p>
              </w:tc>
              <w:tc>
                <w:tcPr>
                  <w:tcW w:w="1657" w:type="dxa"/>
                  <w:noWrap/>
                  <w:hideMark/>
                </w:tcPr>
                <w:p w:rsidRPr="004C001D" w:rsidR="00087BCA" w:rsidP="004C001D" w:rsidRDefault="00087BCA" w14:paraId="26ABD221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4C001D">
                    <w:rPr>
                      <w:rFonts w:asciiTheme="minorHAnsi" w:hAnsiTheme="minorHAnsi" w:cstheme="minorHAnsi"/>
                      <w:b/>
                    </w:rPr>
                    <w:t xml:space="preserve">Female </w:t>
                  </w:r>
                </w:p>
              </w:tc>
              <w:tc>
                <w:tcPr>
                  <w:tcW w:w="2821" w:type="dxa"/>
                  <w:noWrap/>
                  <w:hideMark/>
                </w:tcPr>
                <w:p w:rsidRPr="004C001D" w:rsidR="00087BCA" w:rsidP="004C001D" w:rsidRDefault="00087BCA" w14:paraId="28A8F90E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4C001D">
                    <w:rPr>
                      <w:rFonts w:asciiTheme="minorHAnsi" w:hAnsiTheme="minorHAnsi" w:cstheme="minorHAnsi"/>
                      <w:b/>
                    </w:rPr>
                    <w:t>Pupil Premium</w:t>
                  </w:r>
                </w:p>
              </w:tc>
              <w:tc>
                <w:tcPr>
                  <w:tcW w:w="1444" w:type="dxa"/>
                  <w:noWrap/>
                  <w:hideMark/>
                </w:tcPr>
                <w:p w:rsidRPr="004C001D" w:rsidR="00087BCA" w:rsidP="004C001D" w:rsidRDefault="00087BCA" w14:paraId="75676958" w14:textId="77777777">
                  <w:pPr>
                    <w:pStyle w:val="NoSpacing"/>
                    <w:rPr>
                      <w:rFonts w:asciiTheme="minorHAnsi" w:hAnsiTheme="minorHAnsi" w:cstheme="minorHAnsi"/>
                      <w:b/>
                    </w:rPr>
                  </w:pPr>
                  <w:r w:rsidRPr="004C001D">
                    <w:rPr>
                      <w:rFonts w:asciiTheme="minorHAnsi" w:hAnsiTheme="minorHAnsi" w:cstheme="minorHAnsi"/>
                      <w:b/>
                    </w:rPr>
                    <w:t xml:space="preserve">SEN </w:t>
                  </w:r>
                </w:p>
              </w:tc>
            </w:tr>
            <w:tr w:rsidRPr="00926D9E" w:rsidR="00087BCA" w:rsidTr="00087BCA" w14:paraId="18D45930" w14:textId="77777777">
              <w:trPr>
                <w:trHeight w:val="544"/>
              </w:trPr>
              <w:tc>
                <w:tcPr>
                  <w:tcW w:w="1524" w:type="dxa"/>
                  <w:noWrap/>
                  <w:hideMark/>
                </w:tcPr>
                <w:p w:rsidRPr="00926D9E" w:rsidR="00087BCA" w:rsidP="004C001D" w:rsidRDefault="00087BCA" w14:paraId="35CBFAF4" w14:textId="77777777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 w:rsidRPr="00926D9E">
                    <w:rPr>
                      <w:rFonts w:ascii="Calibri" w:hAnsi="Calibri" w:cs="Calibri"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1524" w:type="dxa"/>
                  <w:noWrap/>
                  <w:hideMark/>
                </w:tcPr>
                <w:p w:rsidRPr="00926D9E" w:rsidR="00087BCA" w:rsidP="004C001D" w:rsidRDefault="00087BCA" w14:paraId="6D673EF3" w14:textId="77777777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 w:rsidRPr="00926D9E">
                    <w:rPr>
                      <w:rFonts w:ascii="Calibri" w:hAnsi="Calibri" w:cs="Calibri"/>
                      <w:color w:val="000000"/>
                    </w:rPr>
                    <w:t>53.0</w:t>
                  </w:r>
                </w:p>
              </w:tc>
              <w:tc>
                <w:tcPr>
                  <w:tcW w:w="1657" w:type="dxa"/>
                  <w:noWrap/>
                  <w:hideMark/>
                </w:tcPr>
                <w:p w:rsidRPr="00926D9E" w:rsidR="00087BCA" w:rsidP="004C001D" w:rsidRDefault="00087BCA" w14:paraId="2CE6E817" w14:textId="77777777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 w:rsidRPr="00926D9E">
                    <w:rPr>
                      <w:rFonts w:ascii="Calibri" w:hAnsi="Calibri" w:cs="Calibri"/>
                      <w:color w:val="000000"/>
                    </w:rPr>
                    <w:t>44.0</w:t>
                  </w:r>
                </w:p>
              </w:tc>
              <w:tc>
                <w:tcPr>
                  <w:tcW w:w="2821" w:type="dxa"/>
                  <w:noWrap/>
                  <w:hideMark/>
                </w:tcPr>
                <w:p w:rsidRPr="00926D9E" w:rsidR="00087BCA" w:rsidP="004C001D" w:rsidRDefault="00087BCA" w14:paraId="31627EEB" w14:textId="77777777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 w:rsidRPr="00926D9E">
                    <w:rPr>
                      <w:rFonts w:ascii="Calibri" w:hAnsi="Calibri" w:cs="Calibri"/>
                      <w:color w:val="000000"/>
                    </w:rPr>
                    <w:t>56.0</w:t>
                  </w:r>
                </w:p>
              </w:tc>
              <w:tc>
                <w:tcPr>
                  <w:tcW w:w="1444" w:type="dxa"/>
                  <w:noWrap/>
                  <w:hideMark/>
                </w:tcPr>
                <w:p w:rsidRPr="00926D9E" w:rsidR="00087BCA" w:rsidP="004C001D" w:rsidRDefault="00087BCA" w14:paraId="2AABB891" w14:textId="77777777">
                  <w:pPr>
                    <w:pStyle w:val="NoSpacing"/>
                    <w:rPr>
                      <w:rFonts w:ascii="Calibri" w:hAnsi="Calibri" w:cs="Calibri"/>
                      <w:color w:val="000000"/>
                    </w:rPr>
                  </w:pPr>
                  <w:r w:rsidRPr="00926D9E">
                    <w:rPr>
                      <w:rFonts w:ascii="Calibri" w:hAnsi="Calibri" w:cs="Calibri"/>
                      <w:color w:val="000000"/>
                    </w:rPr>
                    <w:t>46.0</w:t>
                  </w:r>
                </w:p>
              </w:tc>
            </w:tr>
          </w:tbl>
          <w:p w:rsidRPr="001B0E4C" w:rsidR="00220984" w:rsidP="001B0E4C" w:rsidRDefault="00220984" w14:paraId="2A7D5546" w14:textId="5D5614C1">
            <w:pPr>
              <w:suppressAutoHyphens w:val="0"/>
              <w:autoSpaceDN/>
              <w:spacing w:after="0" w:line="240" w:lineRule="auto"/>
              <w:textAlignment w:val="baseline"/>
            </w:pPr>
          </w:p>
        </w:tc>
      </w:tr>
    </w:tbl>
    <w:p w:rsidRPr="00855932" w:rsidR="00E66558" w:rsidP="00855932" w:rsidRDefault="009D71E8" w14:paraId="2A7D5549" w14:textId="71A10B73">
      <w:pPr>
        <w:pStyle w:val="Heading2"/>
        <w:spacing w:before="600"/>
      </w:pPr>
      <w:r>
        <w:lastRenderedPageBreak/>
        <w:t>Externally provided programmes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Tr="7D098920" w14:paraId="2A7D554C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4A" w14:textId="77777777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4B" w14:textId="77777777">
            <w:pPr>
              <w:pStyle w:val="TableHeader"/>
              <w:jc w:val="left"/>
            </w:pPr>
            <w:r>
              <w:t>Provider</w:t>
            </w:r>
          </w:p>
        </w:tc>
      </w:tr>
      <w:tr w:rsidR="00E66558" w:rsidTr="7D098920" w14:paraId="2A7D554F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49E7" w:rsidR="00E66558" w:rsidP="7D098920" w:rsidRDefault="7D098920" w14:paraId="2A7D554D" w14:textId="09287E06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Brilliant Club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49E7" w:rsidR="00E66558" w:rsidRDefault="00E66558" w14:paraId="2A7D554E" w14:textId="60316BD9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50BBF3F0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1EBFD2F4" w14:textId="505ABF16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Reading Eggs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2ED46E06" w14:textId="09FD9B16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71DE9193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41718C0E" w14:textId="175EC48B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White Rose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5AC89FF7" w14:textId="4B948D15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00E27862" w:rsidTr="7D098920" w14:paraId="06B2BD72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49E7" w:rsidR="00E27862" w:rsidP="7D098920" w:rsidRDefault="7D098920" w14:paraId="01AF1FDD" w14:textId="662722DF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My Maths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549E7" w:rsidR="00E27862" w:rsidRDefault="00E27862" w14:paraId="36661EA7" w14:textId="77777777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0DA41A07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529201DB" w14:textId="49FAA485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Time Tables Rock Stars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7584058F" w14:textId="29C2CFD8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3EB91F6A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3FFF5F05" w14:textId="25590649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Cornerstones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76AF033E" w14:textId="014E0640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4CBF7C44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4364856F" w14:textId="1FDA2344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Sing Up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3AB709A3" w14:textId="2298635B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217E4FDA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6BF82E1C" w14:textId="46904A7A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Speech Link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5BBBF10B" w14:textId="351C71CE">
            <w:pPr>
              <w:pStyle w:val="TableRowCentered"/>
              <w:jc w:val="left"/>
              <w:rPr>
                <w:color w:val="0070C0"/>
              </w:rPr>
            </w:pPr>
          </w:p>
        </w:tc>
      </w:tr>
      <w:tr w:rsidR="7D098920" w:rsidTr="7D098920" w14:paraId="20069026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24191228" w14:textId="07557E73">
            <w:pPr>
              <w:pStyle w:val="TableRow"/>
              <w:rPr>
                <w:color w:val="auto"/>
              </w:rPr>
            </w:pPr>
            <w:r w:rsidRPr="7D098920">
              <w:rPr>
                <w:color w:val="auto"/>
              </w:rPr>
              <w:t>PIXL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D098920" w:rsidP="7D098920" w:rsidRDefault="7D098920" w14:paraId="3D363B67" w14:textId="21CA3955">
            <w:pPr>
              <w:pStyle w:val="TableRowCentered"/>
              <w:jc w:val="left"/>
              <w:rPr>
                <w:color w:val="0070C0"/>
              </w:rPr>
            </w:pPr>
          </w:p>
        </w:tc>
      </w:tr>
      <w:bookmarkEnd w:id="15"/>
      <w:bookmarkEnd w:id="16"/>
      <w:bookmarkEnd w:id="17"/>
    </w:tbl>
    <w:p w:rsidR="00E66558" w:rsidRDefault="00E66558" w14:paraId="2A7D555F" w14:textId="18841198">
      <w:pPr>
        <w:spacing w:after="0" w:line="240" w:lineRule="auto"/>
      </w:pPr>
    </w:p>
    <w:sectPr w:rsidR="00E66558" w:rsidSect="001B0E4C">
      <w:footerReference w:type="default" r:id="rId23"/>
      <w:pgSz w:w="11906" w:h="16838" w:orient="portrait"/>
      <w:pgMar w:top="1134" w:right="1276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AC" w:rsidRDefault="00FF13AC" w14:paraId="77FA128B" w14:textId="77777777">
      <w:pPr>
        <w:spacing w:after="0" w:line="240" w:lineRule="auto"/>
      </w:pPr>
      <w:r>
        <w:separator/>
      </w:r>
    </w:p>
  </w:endnote>
  <w:endnote w:type="continuationSeparator" w:id="0">
    <w:p w:rsidR="00FF13AC" w:rsidRDefault="00FF13AC" w14:paraId="3DF31A89" w14:textId="77777777">
      <w:pPr>
        <w:spacing w:after="0" w:line="240" w:lineRule="auto"/>
      </w:pPr>
      <w:r>
        <w:continuationSeparator/>
      </w:r>
    </w:p>
  </w:endnote>
  <w:endnote w:type="continuationNotice" w:id="1">
    <w:p w:rsidR="00FF13AC" w:rsidRDefault="00FF13AC" w14:paraId="6C3516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D4" w:rsidP="0056651D" w:rsidRDefault="009D71E8" w14:paraId="2A7D54BE" w14:textId="6BA024A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52EC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AC" w:rsidRDefault="00FF13AC" w14:paraId="649EFE37" w14:textId="77777777">
      <w:pPr>
        <w:spacing w:after="0" w:line="240" w:lineRule="auto"/>
      </w:pPr>
      <w:r>
        <w:separator/>
      </w:r>
    </w:p>
  </w:footnote>
  <w:footnote w:type="continuationSeparator" w:id="0">
    <w:p w:rsidR="00FF13AC" w:rsidRDefault="00FF13AC" w14:paraId="7B8645D3" w14:textId="77777777">
      <w:pPr>
        <w:spacing w:after="0" w:line="240" w:lineRule="auto"/>
      </w:pPr>
      <w:r>
        <w:continuationSeparator/>
      </w:r>
    </w:p>
  </w:footnote>
  <w:footnote w:type="continuationNotice" w:id="1">
    <w:p w:rsidR="00FF13AC" w:rsidRDefault="00FF13AC" w14:paraId="2F51779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5A4"/>
    <w:multiLevelType w:val="hybridMultilevel"/>
    <w:tmpl w:val="8A2E83D0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" w15:restartNumberingAfterBreak="0">
    <w:nsid w:val="0C490FAB"/>
    <w:multiLevelType w:val="hybridMultilevel"/>
    <w:tmpl w:val="2C062F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B0477E"/>
    <w:multiLevelType w:val="hybridMultilevel"/>
    <w:tmpl w:val="C200F1BE"/>
    <w:lvl w:ilvl="0" w:tplc="08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F44E6"/>
    <w:multiLevelType w:val="hybridMultilevel"/>
    <w:tmpl w:val="EC54DAB2"/>
    <w:lvl w:ilvl="0" w:tplc="08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5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F64FA9"/>
    <w:multiLevelType w:val="hybridMultilevel"/>
    <w:tmpl w:val="7F0E9DB0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2" w15:restartNumberingAfterBreak="0">
    <w:nsid w:val="3782432D"/>
    <w:multiLevelType w:val="hybridMultilevel"/>
    <w:tmpl w:val="1E307ED2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3" w15:restartNumberingAfterBreak="0">
    <w:nsid w:val="3967655D"/>
    <w:multiLevelType w:val="hybridMultilevel"/>
    <w:tmpl w:val="BA443AB8"/>
    <w:lvl w:ilvl="0" w:tplc="08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4" w15:restartNumberingAfterBreak="0">
    <w:nsid w:val="39DC6B0B"/>
    <w:multiLevelType w:val="hybridMultilevel"/>
    <w:tmpl w:val="956A9FD4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5" w15:restartNumberingAfterBreak="0">
    <w:nsid w:val="3D802757"/>
    <w:multiLevelType w:val="hybridMultilevel"/>
    <w:tmpl w:val="BBD0B9D6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6D358A4"/>
    <w:multiLevelType w:val="hybridMultilevel"/>
    <w:tmpl w:val="8ECA7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2A43BB"/>
    <w:multiLevelType w:val="hybridMultilevel"/>
    <w:tmpl w:val="2C424B94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9" w15:restartNumberingAfterBreak="0">
    <w:nsid w:val="5AD26892"/>
    <w:multiLevelType w:val="hybridMultilevel"/>
    <w:tmpl w:val="E30A8474"/>
    <w:lvl w:ilvl="0" w:tplc="D1B6E2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DE3DE0"/>
    <w:multiLevelType w:val="hybridMultilevel"/>
    <w:tmpl w:val="09C4FE1C"/>
    <w:lvl w:ilvl="0" w:tplc="08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22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4" w15:restartNumberingAfterBreak="0">
    <w:nsid w:val="6D3426CA"/>
    <w:multiLevelType w:val="hybridMultilevel"/>
    <w:tmpl w:val="80441BA2"/>
    <w:lvl w:ilvl="0" w:tplc="08090001">
      <w:start w:val="1"/>
      <w:numFmt w:val="bullet"/>
      <w:lvlText w:val=""/>
      <w:lvlJc w:val="left"/>
      <w:pPr>
        <w:ind w:left="41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hint="default" w:ascii="Wingdings" w:hAnsi="Wingdings"/>
      </w:rPr>
    </w:lvl>
  </w:abstractNum>
  <w:abstractNum w:abstractNumId="25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6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3160B9"/>
    <w:multiLevelType w:val="hybridMultilevel"/>
    <w:tmpl w:val="D56081BC"/>
    <w:lvl w:ilvl="0" w:tplc="08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29" w15:restartNumberingAfterBreak="0">
    <w:nsid w:val="7BE43C93"/>
    <w:multiLevelType w:val="hybridMultilevel"/>
    <w:tmpl w:val="4AAAEFE8"/>
    <w:lvl w:ilvl="0" w:tplc="0809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0" w15:restartNumberingAfterBreak="0">
    <w:nsid w:val="7E694862"/>
    <w:multiLevelType w:val="hybridMultilevel"/>
    <w:tmpl w:val="DA7ED20E"/>
    <w:lvl w:ilvl="0" w:tplc="08090001">
      <w:start w:val="1"/>
      <w:numFmt w:val="bullet"/>
      <w:lvlText w:val=""/>
      <w:lvlJc w:val="left"/>
      <w:pPr>
        <w:ind w:left="7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6"/>
  </w:num>
  <w:num w:numId="7">
    <w:abstractNumId w:val="22"/>
  </w:num>
  <w:num w:numId="8">
    <w:abstractNumId w:val="27"/>
  </w:num>
  <w:num w:numId="9">
    <w:abstractNumId w:val="25"/>
  </w:num>
  <w:num w:numId="10">
    <w:abstractNumId w:val="23"/>
  </w:num>
  <w:num w:numId="11">
    <w:abstractNumId w:val="6"/>
  </w:num>
  <w:num w:numId="12">
    <w:abstractNumId w:val="26"/>
  </w:num>
  <w:num w:numId="13">
    <w:abstractNumId w:val="20"/>
  </w:num>
  <w:num w:numId="14">
    <w:abstractNumId w:val="10"/>
  </w:num>
  <w:num w:numId="15">
    <w:abstractNumId w:val="19"/>
  </w:num>
  <w:num w:numId="16">
    <w:abstractNumId w:val="30"/>
  </w:num>
  <w:num w:numId="17">
    <w:abstractNumId w:val="11"/>
  </w:num>
  <w:num w:numId="18">
    <w:abstractNumId w:val="14"/>
  </w:num>
  <w:num w:numId="19">
    <w:abstractNumId w:val="0"/>
  </w:num>
  <w:num w:numId="20">
    <w:abstractNumId w:val="18"/>
  </w:num>
  <w:num w:numId="21">
    <w:abstractNumId w:val="1"/>
  </w:num>
  <w:num w:numId="22">
    <w:abstractNumId w:val="15"/>
  </w:num>
  <w:num w:numId="23">
    <w:abstractNumId w:val="29"/>
  </w:num>
  <w:num w:numId="24">
    <w:abstractNumId w:val="24"/>
  </w:num>
  <w:num w:numId="25">
    <w:abstractNumId w:val="3"/>
  </w:num>
  <w:num w:numId="26">
    <w:abstractNumId w:val="12"/>
  </w:num>
  <w:num w:numId="27">
    <w:abstractNumId w:val="17"/>
  </w:num>
  <w:num w:numId="28">
    <w:abstractNumId w:val="21"/>
  </w:num>
  <w:num w:numId="29">
    <w:abstractNumId w:val="28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02CA"/>
    <w:rsid w:val="00001886"/>
    <w:rsid w:val="00001891"/>
    <w:rsid w:val="00002B11"/>
    <w:rsid w:val="000045A1"/>
    <w:rsid w:val="00005185"/>
    <w:rsid w:val="000051E2"/>
    <w:rsid w:val="000053DC"/>
    <w:rsid w:val="000064DD"/>
    <w:rsid w:val="00006759"/>
    <w:rsid w:val="000100E0"/>
    <w:rsid w:val="000106A2"/>
    <w:rsid w:val="00011010"/>
    <w:rsid w:val="00011340"/>
    <w:rsid w:val="00012026"/>
    <w:rsid w:val="0001384C"/>
    <w:rsid w:val="0001495C"/>
    <w:rsid w:val="00017729"/>
    <w:rsid w:val="00017EAF"/>
    <w:rsid w:val="0002071E"/>
    <w:rsid w:val="00020DC5"/>
    <w:rsid w:val="000234D8"/>
    <w:rsid w:val="0002363D"/>
    <w:rsid w:val="00023A7E"/>
    <w:rsid w:val="00023D9A"/>
    <w:rsid w:val="00023F6E"/>
    <w:rsid w:val="00025872"/>
    <w:rsid w:val="00025B71"/>
    <w:rsid w:val="00026C3B"/>
    <w:rsid w:val="00027B03"/>
    <w:rsid w:val="000301F1"/>
    <w:rsid w:val="000313D6"/>
    <w:rsid w:val="00031898"/>
    <w:rsid w:val="0003197D"/>
    <w:rsid w:val="0003265C"/>
    <w:rsid w:val="0003270A"/>
    <w:rsid w:val="00032A79"/>
    <w:rsid w:val="00037B50"/>
    <w:rsid w:val="0004039A"/>
    <w:rsid w:val="00040F0E"/>
    <w:rsid w:val="00042467"/>
    <w:rsid w:val="0004329A"/>
    <w:rsid w:val="00043B45"/>
    <w:rsid w:val="00044E7C"/>
    <w:rsid w:val="0004557E"/>
    <w:rsid w:val="00046EBA"/>
    <w:rsid w:val="0004715F"/>
    <w:rsid w:val="00047D6A"/>
    <w:rsid w:val="00047FBF"/>
    <w:rsid w:val="00050713"/>
    <w:rsid w:val="00051BB1"/>
    <w:rsid w:val="00052377"/>
    <w:rsid w:val="00052E23"/>
    <w:rsid w:val="00053887"/>
    <w:rsid w:val="00053A7C"/>
    <w:rsid w:val="0005411B"/>
    <w:rsid w:val="00055729"/>
    <w:rsid w:val="00055B4E"/>
    <w:rsid w:val="00055E73"/>
    <w:rsid w:val="00057960"/>
    <w:rsid w:val="000579AC"/>
    <w:rsid w:val="000605EA"/>
    <w:rsid w:val="00060CBF"/>
    <w:rsid w:val="00060D61"/>
    <w:rsid w:val="00060F73"/>
    <w:rsid w:val="000613A6"/>
    <w:rsid w:val="00061CE6"/>
    <w:rsid w:val="000623D3"/>
    <w:rsid w:val="00063207"/>
    <w:rsid w:val="00063340"/>
    <w:rsid w:val="00066054"/>
    <w:rsid w:val="00066B73"/>
    <w:rsid w:val="00066E1D"/>
    <w:rsid w:val="00071464"/>
    <w:rsid w:val="000724FB"/>
    <w:rsid w:val="00073FC3"/>
    <w:rsid w:val="00075F97"/>
    <w:rsid w:val="00076244"/>
    <w:rsid w:val="00077DE5"/>
    <w:rsid w:val="00081EDE"/>
    <w:rsid w:val="00081FF7"/>
    <w:rsid w:val="000820BC"/>
    <w:rsid w:val="0008250C"/>
    <w:rsid w:val="00082740"/>
    <w:rsid w:val="00083574"/>
    <w:rsid w:val="00084A15"/>
    <w:rsid w:val="00084B74"/>
    <w:rsid w:val="000856FA"/>
    <w:rsid w:val="00086298"/>
    <w:rsid w:val="00086704"/>
    <w:rsid w:val="00086C43"/>
    <w:rsid w:val="0008797E"/>
    <w:rsid w:val="00087BCA"/>
    <w:rsid w:val="000905F7"/>
    <w:rsid w:val="0009383B"/>
    <w:rsid w:val="00093BE7"/>
    <w:rsid w:val="00094874"/>
    <w:rsid w:val="00094B06"/>
    <w:rsid w:val="00094CFA"/>
    <w:rsid w:val="000954B5"/>
    <w:rsid w:val="00095DFE"/>
    <w:rsid w:val="00095F83"/>
    <w:rsid w:val="00097A09"/>
    <w:rsid w:val="000A09C0"/>
    <w:rsid w:val="000A19FA"/>
    <w:rsid w:val="000A21DF"/>
    <w:rsid w:val="000A367E"/>
    <w:rsid w:val="000A4C2F"/>
    <w:rsid w:val="000A506E"/>
    <w:rsid w:val="000A5F10"/>
    <w:rsid w:val="000A5F32"/>
    <w:rsid w:val="000B0226"/>
    <w:rsid w:val="000B04BC"/>
    <w:rsid w:val="000B45BD"/>
    <w:rsid w:val="000B46AE"/>
    <w:rsid w:val="000B5BCD"/>
    <w:rsid w:val="000B72A4"/>
    <w:rsid w:val="000B7FA2"/>
    <w:rsid w:val="000C0846"/>
    <w:rsid w:val="000C0BDD"/>
    <w:rsid w:val="000C0DE4"/>
    <w:rsid w:val="000C1DD0"/>
    <w:rsid w:val="000C238F"/>
    <w:rsid w:val="000C241F"/>
    <w:rsid w:val="000C3954"/>
    <w:rsid w:val="000C3EAE"/>
    <w:rsid w:val="000C3FC9"/>
    <w:rsid w:val="000C5C92"/>
    <w:rsid w:val="000C764F"/>
    <w:rsid w:val="000D0FF7"/>
    <w:rsid w:val="000D1EBD"/>
    <w:rsid w:val="000D277F"/>
    <w:rsid w:val="000D423D"/>
    <w:rsid w:val="000D4742"/>
    <w:rsid w:val="000D4CB7"/>
    <w:rsid w:val="000D50C3"/>
    <w:rsid w:val="000D5873"/>
    <w:rsid w:val="000D5C03"/>
    <w:rsid w:val="000E0906"/>
    <w:rsid w:val="000E0B9A"/>
    <w:rsid w:val="000E0C79"/>
    <w:rsid w:val="000E127E"/>
    <w:rsid w:val="000E4F63"/>
    <w:rsid w:val="000E5753"/>
    <w:rsid w:val="000E580B"/>
    <w:rsid w:val="000E5FEF"/>
    <w:rsid w:val="000E6A03"/>
    <w:rsid w:val="000E6F67"/>
    <w:rsid w:val="000E70A6"/>
    <w:rsid w:val="000F0EA0"/>
    <w:rsid w:val="000F14C5"/>
    <w:rsid w:val="000F19B5"/>
    <w:rsid w:val="000F2522"/>
    <w:rsid w:val="000F406A"/>
    <w:rsid w:val="000F4EB1"/>
    <w:rsid w:val="000F5C05"/>
    <w:rsid w:val="000F6CCF"/>
    <w:rsid w:val="000F71FA"/>
    <w:rsid w:val="001005ED"/>
    <w:rsid w:val="001015BC"/>
    <w:rsid w:val="001025FB"/>
    <w:rsid w:val="00102AAC"/>
    <w:rsid w:val="00105738"/>
    <w:rsid w:val="00105A56"/>
    <w:rsid w:val="00105F24"/>
    <w:rsid w:val="00107A79"/>
    <w:rsid w:val="00107C74"/>
    <w:rsid w:val="001107A3"/>
    <w:rsid w:val="001139C3"/>
    <w:rsid w:val="00113A28"/>
    <w:rsid w:val="00114CFB"/>
    <w:rsid w:val="00115069"/>
    <w:rsid w:val="00115EA2"/>
    <w:rsid w:val="00116DF9"/>
    <w:rsid w:val="001203D6"/>
    <w:rsid w:val="0012088B"/>
    <w:rsid w:val="001208C7"/>
    <w:rsid w:val="00120AB1"/>
    <w:rsid w:val="0012126D"/>
    <w:rsid w:val="001226AC"/>
    <w:rsid w:val="0012313B"/>
    <w:rsid w:val="00123EF2"/>
    <w:rsid w:val="0012428A"/>
    <w:rsid w:val="00126958"/>
    <w:rsid w:val="00127F5F"/>
    <w:rsid w:val="00131914"/>
    <w:rsid w:val="0013324D"/>
    <w:rsid w:val="00134953"/>
    <w:rsid w:val="0013512D"/>
    <w:rsid w:val="00136D68"/>
    <w:rsid w:val="00137EEF"/>
    <w:rsid w:val="001411E6"/>
    <w:rsid w:val="00141D27"/>
    <w:rsid w:val="0014317F"/>
    <w:rsid w:val="00143692"/>
    <w:rsid w:val="00144583"/>
    <w:rsid w:val="00145CB1"/>
    <w:rsid w:val="0014608F"/>
    <w:rsid w:val="00147492"/>
    <w:rsid w:val="001502A9"/>
    <w:rsid w:val="001521CA"/>
    <w:rsid w:val="00152206"/>
    <w:rsid w:val="00153CA3"/>
    <w:rsid w:val="001544DE"/>
    <w:rsid w:val="00154836"/>
    <w:rsid w:val="00155A11"/>
    <w:rsid w:val="0015621F"/>
    <w:rsid w:val="001570A9"/>
    <w:rsid w:val="00160779"/>
    <w:rsid w:val="00162957"/>
    <w:rsid w:val="00162A9F"/>
    <w:rsid w:val="00162EFB"/>
    <w:rsid w:val="0016406A"/>
    <w:rsid w:val="001645B9"/>
    <w:rsid w:val="00165607"/>
    <w:rsid w:val="001662B7"/>
    <w:rsid w:val="00166D86"/>
    <w:rsid w:val="00171009"/>
    <w:rsid w:val="00171EB1"/>
    <w:rsid w:val="00172E82"/>
    <w:rsid w:val="00173CFB"/>
    <w:rsid w:val="001740C3"/>
    <w:rsid w:val="00174105"/>
    <w:rsid w:val="001741CE"/>
    <w:rsid w:val="001755B6"/>
    <w:rsid w:val="00175C89"/>
    <w:rsid w:val="00175EC1"/>
    <w:rsid w:val="00176345"/>
    <w:rsid w:val="00182B1B"/>
    <w:rsid w:val="00182CE3"/>
    <w:rsid w:val="00183656"/>
    <w:rsid w:val="001854B9"/>
    <w:rsid w:val="00187D51"/>
    <w:rsid w:val="00194F5D"/>
    <w:rsid w:val="0019556C"/>
    <w:rsid w:val="00196F36"/>
    <w:rsid w:val="0019782E"/>
    <w:rsid w:val="00197B51"/>
    <w:rsid w:val="001A034C"/>
    <w:rsid w:val="001A12B9"/>
    <w:rsid w:val="001A25A3"/>
    <w:rsid w:val="001A2889"/>
    <w:rsid w:val="001A35D1"/>
    <w:rsid w:val="001A4D83"/>
    <w:rsid w:val="001A6031"/>
    <w:rsid w:val="001A62E6"/>
    <w:rsid w:val="001A6B3D"/>
    <w:rsid w:val="001B011E"/>
    <w:rsid w:val="001B098A"/>
    <w:rsid w:val="001B0E4C"/>
    <w:rsid w:val="001B119A"/>
    <w:rsid w:val="001B1D8B"/>
    <w:rsid w:val="001B4D47"/>
    <w:rsid w:val="001B55E0"/>
    <w:rsid w:val="001B5953"/>
    <w:rsid w:val="001B716E"/>
    <w:rsid w:val="001B758A"/>
    <w:rsid w:val="001B7905"/>
    <w:rsid w:val="001C0E0C"/>
    <w:rsid w:val="001C1204"/>
    <w:rsid w:val="001C1224"/>
    <w:rsid w:val="001C12BA"/>
    <w:rsid w:val="001C17E8"/>
    <w:rsid w:val="001C2B7B"/>
    <w:rsid w:val="001C341C"/>
    <w:rsid w:val="001C49CD"/>
    <w:rsid w:val="001C629A"/>
    <w:rsid w:val="001C698F"/>
    <w:rsid w:val="001C70A5"/>
    <w:rsid w:val="001D0305"/>
    <w:rsid w:val="001D130E"/>
    <w:rsid w:val="001D1772"/>
    <w:rsid w:val="001D1AD6"/>
    <w:rsid w:val="001D1DCA"/>
    <w:rsid w:val="001D2A32"/>
    <w:rsid w:val="001D2BF6"/>
    <w:rsid w:val="001D2F1E"/>
    <w:rsid w:val="001D33A7"/>
    <w:rsid w:val="001D3AEA"/>
    <w:rsid w:val="001D3C80"/>
    <w:rsid w:val="001D61D6"/>
    <w:rsid w:val="001D6DC0"/>
    <w:rsid w:val="001D77E9"/>
    <w:rsid w:val="001E01C3"/>
    <w:rsid w:val="001E0687"/>
    <w:rsid w:val="001E0DE1"/>
    <w:rsid w:val="001E12D7"/>
    <w:rsid w:val="001E1A07"/>
    <w:rsid w:val="001E20AD"/>
    <w:rsid w:val="001E29F1"/>
    <w:rsid w:val="001E4E1D"/>
    <w:rsid w:val="001E4FF9"/>
    <w:rsid w:val="001E522A"/>
    <w:rsid w:val="001E562F"/>
    <w:rsid w:val="001E58D7"/>
    <w:rsid w:val="001E5F86"/>
    <w:rsid w:val="001E76B0"/>
    <w:rsid w:val="001E7ADF"/>
    <w:rsid w:val="001F1801"/>
    <w:rsid w:val="001F198D"/>
    <w:rsid w:val="001F413B"/>
    <w:rsid w:val="001F5269"/>
    <w:rsid w:val="001F6B77"/>
    <w:rsid w:val="00200B27"/>
    <w:rsid w:val="00200CFA"/>
    <w:rsid w:val="00200EE5"/>
    <w:rsid w:val="00201D58"/>
    <w:rsid w:val="00201EE2"/>
    <w:rsid w:val="00202374"/>
    <w:rsid w:val="002031A5"/>
    <w:rsid w:val="00206549"/>
    <w:rsid w:val="00206F88"/>
    <w:rsid w:val="0020751E"/>
    <w:rsid w:val="00207738"/>
    <w:rsid w:val="002103EE"/>
    <w:rsid w:val="00210944"/>
    <w:rsid w:val="00210CC4"/>
    <w:rsid w:val="00211424"/>
    <w:rsid w:val="002122B7"/>
    <w:rsid w:val="002128DA"/>
    <w:rsid w:val="00212A4E"/>
    <w:rsid w:val="00212A8E"/>
    <w:rsid w:val="00213ABB"/>
    <w:rsid w:val="00214C83"/>
    <w:rsid w:val="00214D50"/>
    <w:rsid w:val="00214F89"/>
    <w:rsid w:val="0021576C"/>
    <w:rsid w:val="00216E7C"/>
    <w:rsid w:val="00216F68"/>
    <w:rsid w:val="00220984"/>
    <w:rsid w:val="00222F48"/>
    <w:rsid w:val="00223575"/>
    <w:rsid w:val="0022423C"/>
    <w:rsid w:val="002248E1"/>
    <w:rsid w:val="00225919"/>
    <w:rsid w:val="002260EA"/>
    <w:rsid w:val="002267E9"/>
    <w:rsid w:val="002278D9"/>
    <w:rsid w:val="00227BBA"/>
    <w:rsid w:val="0023034C"/>
    <w:rsid w:val="002310EB"/>
    <w:rsid w:val="00231624"/>
    <w:rsid w:val="00231E6D"/>
    <w:rsid w:val="0023293D"/>
    <w:rsid w:val="00232EF2"/>
    <w:rsid w:val="00234191"/>
    <w:rsid w:val="00234CD5"/>
    <w:rsid w:val="00234EF6"/>
    <w:rsid w:val="00235004"/>
    <w:rsid w:val="0023739E"/>
    <w:rsid w:val="0023765D"/>
    <w:rsid w:val="00241336"/>
    <w:rsid w:val="002417D4"/>
    <w:rsid w:val="00241C01"/>
    <w:rsid w:val="00241C7E"/>
    <w:rsid w:val="00242672"/>
    <w:rsid w:val="00244F52"/>
    <w:rsid w:val="00246AE7"/>
    <w:rsid w:val="002471FF"/>
    <w:rsid w:val="0025127A"/>
    <w:rsid w:val="00251546"/>
    <w:rsid w:val="00253080"/>
    <w:rsid w:val="00253128"/>
    <w:rsid w:val="00253D4D"/>
    <w:rsid w:val="0025547B"/>
    <w:rsid w:val="002556EB"/>
    <w:rsid w:val="002570A7"/>
    <w:rsid w:val="002605B1"/>
    <w:rsid w:val="0026121D"/>
    <w:rsid w:val="002617CC"/>
    <w:rsid w:val="002629BB"/>
    <w:rsid w:val="0026462D"/>
    <w:rsid w:val="00265714"/>
    <w:rsid w:val="00265EA0"/>
    <w:rsid w:val="00265F34"/>
    <w:rsid w:val="00267706"/>
    <w:rsid w:val="0027107A"/>
    <w:rsid w:val="00273E14"/>
    <w:rsid w:val="0027576C"/>
    <w:rsid w:val="00275D92"/>
    <w:rsid w:val="0027618D"/>
    <w:rsid w:val="00280615"/>
    <w:rsid w:val="00281715"/>
    <w:rsid w:val="00281B68"/>
    <w:rsid w:val="002827F4"/>
    <w:rsid w:val="00282DC2"/>
    <w:rsid w:val="0028408A"/>
    <w:rsid w:val="00284B00"/>
    <w:rsid w:val="00285516"/>
    <w:rsid w:val="002857D8"/>
    <w:rsid w:val="00286092"/>
    <w:rsid w:val="00286F64"/>
    <w:rsid w:val="00286F9F"/>
    <w:rsid w:val="0029115F"/>
    <w:rsid w:val="00291AF0"/>
    <w:rsid w:val="00291E10"/>
    <w:rsid w:val="0029284B"/>
    <w:rsid w:val="00292E62"/>
    <w:rsid w:val="0029500C"/>
    <w:rsid w:val="00295351"/>
    <w:rsid w:val="00295A11"/>
    <w:rsid w:val="00295C76"/>
    <w:rsid w:val="00297ADD"/>
    <w:rsid w:val="002A0F08"/>
    <w:rsid w:val="002A342E"/>
    <w:rsid w:val="002A3A12"/>
    <w:rsid w:val="002A3E84"/>
    <w:rsid w:val="002A432D"/>
    <w:rsid w:val="002A438A"/>
    <w:rsid w:val="002A637D"/>
    <w:rsid w:val="002A63FA"/>
    <w:rsid w:val="002A6A73"/>
    <w:rsid w:val="002A7066"/>
    <w:rsid w:val="002A7277"/>
    <w:rsid w:val="002B0294"/>
    <w:rsid w:val="002B06C2"/>
    <w:rsid w:val="002B1CB7"/>
    <w:rsid w:val="002B1D9E"/>
    <w:rsid w:val="002B314B"/>
    <w:rsid w:val="002B314D"/>
    <w:rsid w:val="002B3306"/>
    <w:rsid w:val="002B44BC"/>
    <w:rsid w:val="002B5FF7"/>
    <w:rsid w:val="002B62D1"/>
    <w:rsid w:val="002B6A47"/>
    <w:rsid w:val="002B789B"/>
    <w:rsid w:val="002B7AE9"/>
    <w:rsid w:val="002C2807"/>
    <w:rsid w:val="002C38B7"/>
    <w:rsid w:val="002C3C8F"/>
    <w:rsid w:val="002C53A2"/>
    <w:rsid w:val="002C55E2"/>
    <w:rsid w:val="002C5874"/>
    <w:rsid w:val="002C5C46"/>
    <w:rsid w:val="002C5C55"/>
    <w:rsid w:val="002C632A"/>
    <w:rsid w:val="002C63C0"/>
    <w:rsid w:val="002C7FC4"/>
    <w:rsid w:val="002D02D5"/>
    <w:rsid w:val="002D0C5D"/>
    <w:rsid w:val="002D2187"/>
    <w:rsid w:val="002D2190"/>
    <w:rsid w:val="002D45D9"/>
    <w:rsid w:val="002D4DAA"/>
    <w:rsid w:val="002D6838"/>
    <w:rsid w:val="002D7E03"/>
    <w:rsid w:val="002E1D1E"/>
    <w:rsid w:val="002E3A1A"/>
    <w:rsid w:val="002E3FF3"/>
    <w:rsid w:val="002E5370"/>
    <w:rsid w:val="002E5A89"/>
    <w:rsid w:val="002E63BB"/>
    <w:rsid w:val="002E72E4"/>
    <w:rsid w:val="002E7606"/>
    <w:rsid w:val="002E7855"/>
    <w:rsid w:val="002E7A7D"/>
    <w:rsid w:val="002F0516"/>
    <w:rsid w:val="002F1527"/>
    <w:rsid w:val="002F1B5E"/>
    <w:rsid w:val="002F3B55"/>
    <w:rsid w:val="002F3BF6"/>
    <w:rsid w:val="002F45AC"/>
    <w:rsid w:val="002F48B7"/>
    <w:rsid w:val="002F4BB4"/>
    <w:rsid w:val="002F5CFB"/>
    <w:rsid w:val="002F631F"/>
    <w:rsid w:val="002F735C"/>
    <w:rsid w:val="003002BE"/>
    <w:rsid w:val="003006DC"/>
    <w:rsid w:val="003008EA"/>
    <w:rsid w:val="00301620"/>
    <w:rsid w:val="0030284F"/>
    <w:rsid w:val="00304107"/>
    <w:rsid w:val="003042EC"/>
    <w:rsid w:val="00304B93"/>
    <w:rsid w:val="00305DCE"/>
    <w:rsid w:val="003061EC"/>
    <w:rsid w:val="003070E9"/>
    <w:rsid w:val="00307EFF"/>
    <w:rsid w:val="00311B63"/>
    <w:rsid w:val="00311FB0"/>
    <w:rsid w:val="00312999"/>
    <w:rsid w:val="00313FF4"/>
    <w:rsid w:val="003142BC"/>
    <w:rsid w:val="00314DA2"/>
    <w:rsid w:val="003156E1"/>
    <w:rsid w:val="00315FF0"/>
    <w:rsid w:val="00316A25"/>
    <w:rsid w:val="00316A5B"/>
    <w:rsid w:val="003176B5"/>
    <w:rsid w:val="0032176F"/>
    <w:rsid w:val="003218EA"/>
    <w:rsid w:val="0032216D"/>
    <w:rsid w:val="00323020"/>
    <w:rsid w:val="00324224"/>
    <w:rsid w:val="003247EC"/>
    <w:rsid w:val="003253F8"/>
    <w:rsid w:val="0032544A"/>
    <w:rsid w:val="00325DD7"/>
    <w:rsid w:val="00325EB3"/>
    <w:rsid w:val="00326FA3"/>
    <w:rsid w:val="0032723C"/>
    <w:rsid w:val="003275DF"/>
    <w:rsid w:val="00327E78"/>
    <w:rsid w:val="0033017B"/>
    <w:rsid w:val="00330E03"/>
    <w:rsid w:val="00331A29"/>
    <w:rsid w:val="00332C7E"/>
    <w:rsid w:val="00332F9B"/>
    <w:rsid w:val="00334EC2"/>
    <w:rsid w:val="00335703"/>
    <w:rsid w:val="00335E3C"/>
    <w:rsid w:val="0033627B"/>
    <w:rsid w:val="00337C60"/>
    <w:rsid w:val="00337F4F"/>
    <w:rsid w:val="00340199"/>
    <w:rsid w:val="003418FC"/>
    <w:rsid w:val="00341907"/>
    <w:rsid w:val="00343E51"/>
    <w:rsid w:val="00344670"/>
    <w:rsid w:val="00345879"/>
    <w:rsid w:val="003464C0"/>
    <w:rsid w:val="00346F18"/>
    <w:rsid w:val="00347E37"/>
    <w:rsid w:val="00351340"/>
    <w:rsid w:val="00351B8D"/>
    <w:rsid w:val="003529D4"/>
    <w:rsid w:val="00353AD5"/>
    <w:rsid w:val="003562DA"/>
    <w:rsid w:val="00357A10"/>
    <w:rsid w:val="003617B9"/>
    <w:rsid w:val="003617EC"/>
    <w:rsid w:val="0036262E"/>
    <w:rsid w:val="00363AFF"/>
    <w:rsid w:val="0036411A"/>
    <w:rsid w:val="00364385"/>
    <w:rsid w:val="00365A4C"/>
    <w:rsid w:val="00366172"/>
    <w:rsid w:val="003663EB"/>
    <w:rsid w:val="00366EE1"/>
    <w:rsid w:val="003703CC"/>
    <w:rsid w:val="003709E7"/>
    <w:rsid w:val="00371360"/>
    <w:rsid w:val="00371722"/>
    <w:rsid w:val="00371DB8"/>
    <w:rsid w:val="0037207C"/>
    <w:rsid w:val="00372684"/>
    <w:rsid w:val="003731D5"/>
    <w:rsid w:val="00373990"/>
    <w:rsid w:val="00373FE4"/>
    <w:rsid w:val="0037532E"/>
    <w:rsid w:val="003765BB"/>
    <w:rsid w:val="00376B5A"/>
    <w:rsid w:val="00376C18"/>
    <w:rsid w:val="00380251"/>
    <w:rsid w:val="00382803"/>
    <w:rsid w:val="00382826"/>
    <w:rsid w:val="00382E00"/>
    <w:rsid w:val="00384507"/>
    <w:rsid w:val="00384BE4"/>
    <w:rsid w:val="0038681B"/>
    <w:rsid w:val="00386D3C"/>
    <w:rsid w:val="003871B3"/>
    <w:rsid w:val="00391C6D"/>
    <w:rsid w:val="00392204"/>
    <w:rsid w:val="0039311E"/>
    <w:rsid w:val="00393EA8"/>
    <w:rsid w:val="003952AF"/>
    <w:rsid w:val="00395603"/>
    <w:rsid w:val="003964FD"/>
    <w:rsid w:val="003969BA"/>
    <w:rsid w:val="003A00EB"/>
    <w:rsid w:val="003A36B0"/>
    <w:rsid w:val="003A3A19"/>
    <w:rsid w:val="003A4B73"/>
    <w:rsid w:val="003A5217"/>
    <w:rsid w:val="003A677F"/>
    <w:rsid w:val="003A6AF0"/>
    <w:rsid w:val="003B0CBB"/>
    <w:rsid w:val="003B136C"/>
    <w:rsid w:val="003B19A8"/>
    <w:rsid w:val="003B1AEE"/>
    <w:rsid w:val="003B220B"/>
    <w:rsid w:val="003B2CA2"/>
    <w:rsid w:val="003B308F"/>
    <w:rsid w:val="003B30AE"/>
    <w:rsid w:val="003B470F"/>
    <w:rsid w:val="003B4869"/>
    <w:rsid w:val="003B491A"/>
    <w:rsid w:val="003B514F"/>
    <w:rsid w:val="003B5D2D"/>
    <w:rsid w:val="003B6B17"/>
    <w:rsid w:val="003B7697"/>
    <w:rsid w:val="003C36F0"/>
    <w:rsid w:val="003C46EB"/>
    <w:rsid w:val="003C4BC2"/>
    <w:rsid w:val="003C691A"/>
    <w:rsid w:val="003D0828"/>
    <w:rsid w:val="003D28EF"/>
    <w:rsid w:val="003D3150"/>
    <w:rsid w:val="003D4F5E"/>
    <w:rsid w:val="003D5935"/>
    <w:rsid w:val="003D6237"/>
    <w:rsid w:val="003D7A88"/>
    <w:rsid w:val="003E1515"/>
    <w:rsid w:val="003E1580"/>
    <w:rsid w:val="003E1815"/>
    <w:rsid w:val="003E2120"/>
    <w:rsid w:val="003E2122"/>
    <w:rsid w:val="003E2ED5"/>
    <w:rsid w:val="003E321F"/>
    <w:rsid w:val="003E3735"/>
    <w:rsid w:val="003E3A10"/>
    <w:rsid w:val="003E442A"/>
    <w:rsid w:val="003E4B48"/>
    <w:rsid w:val="003E6486"/>
    <w:rsid w:val="003E6A55"/>
    <w:rsid w:val="003E6AAF"/>
    <w:rsid w:val="003E7CEF"/>
    <w:rsid w:val="003F000C"/>
    <w:rsid w:val="003F0110"/>
    <w:rsid w:val="003F0400"/>
    <w:rsid w:val="003F0B14"/>
    <w:rsid w:val="003F0DEB"/>
    <w:rsid w:val="003F14B2"/>
    <w:rsid w:val="003F1E06"/>
    <w:rsid w:val="003F21FD"/>
    <w:rsid w:val="003F376F"/>
    <w:rsid w:val="003F3C29"/>
    <w:rsid w:val="003F3E67"/>
    <w:rsid w:val="003F5867"/>
    <w:rsid w:val="003F5DC5"/>
    <w:rsid w:val="003F6766"/>
    <w:rsid w:val="003F7046"/>
    <w:rsid w:val="0040079F"/>
    <w:rsid w:val="00402945"/>
    <w:rsid w:val="0040333F"/>
    <w:rsid w:val="004036E5"/>
    <w:rsid w:val="004044AA"/>
    <w:rsid w:val="00405A60"/>
    <w:rsid w:val="00405F3C"/>
    <w:rsid w:val="00407188"/>
    <w:rsid w:val="00407E6E"/>
    <w:rsid w:val="00410D84"/>
    <w:rsid w:val="00412627"/>
    <w:rsid w:val="00412DF3"/>
    <w:rsid w:val="0041315E"/>
    <w:rsid w:val="00415767"/>
    <w:rsid w:val="0041586D"/>
    <w:rsid w:val="00416763"/>
    <w:rsid w:val="0041678F"/>
    <w:rsid w:val="00420788"/>
    <w:rsid w:val="00421546"/>
    <w:rsid w:val="00423924"/>
    <w:rsid w:val="00423B7A"/>
    <w:rsid w:val="00427465"/>
    <w:rsid w:val="00427DF1"/>
    <w:rsid w:val="0043031E"/>
    <w:rsid w:val="004308AA"/>
    <w:rsid w:val="00431F56"/>
    <w:rsid w:val="00433632"/>
    <w:rsid w:val="0043456D"/>
    <w:rsid w:val="004346A8"/>
    <w:rsid w:val="00436C85"/>
    <w:rsid w:val="004376F1"/>
    <w:rsid w:val="004414EB"/>
    <w:rsid w:val="0044189E"/>
    <w:rsid w:val="00443D1A"/>
    <w:rsid w:val="00444005"/>
    <w:rsid w:val="00445183"/>
    <w:rsid w:val="004453B1"/>
    <w:rsid w:val="004454BF"/>
    <w:rsid w:val="0044560E"/>
    <w:rsid w:val="00445705"/>
    <w:rsid w:val="00445ADE"/>
    <w:rsid w:val="004473BC"/>
    <w:rsid w:val="00447FF7"/>
    <w:rsid w:val="00450AB7"/>
    <w:rsid w:val="00451A23"/>
    <w:rsid w:val="00452938"/>
    <w:rsid w:val="004534C4"/>
    <w:rsid w:val="00454440"/>
    <w:rsid w:val="00455A47"/>
    <w:rsid w:val="00455E3D"/>
    <w:rsid w:val="004565AE"/>
    <w:rsid w:val="00456CA8"/>
    <w:rsid w:val="004572EC"/>
    <w:rsid w:val="00457E24"/>
    <w:rsid w:val="00460C4C"/>
    <w:rsid w:val="004611A2"/>
    <w:rsid w:val="00461B5D"/>
    <w:rsid w:val="00462B9C"/>
    <w:rsid w:val="00463DC7"/>
    <w:rsid w:val="00464385"/>
    <w:rsid w:val="004654D5"/>
    <w:rsid w:val="00465665"/>
    <w:rsid w:val="00466FE5"/>
    <w:rsid w:val="004674AE"/>
    <w:rsid w:val="00470129"/>
    <w:rsid w:val="0047018E"/>
    <w:rsid w:val="00471A95"/>
    <w:rsid w:val="00471EAA"/>
    <w:rsid w:val="004744BA"/>
    <w:rsid w:val="00474667"/>
    <w:rsid w:val="00474A90"/>
    <w:rsid w:val="00475134"/>
    <w:rsid w:val="0047631B"/>
    <w:rsid w:val="00477C0E"/>
    <w:rsid w:val="004819E8"/>
    <w:rsid w:val="00482218"/>
    <w:rsid w:val="0048228B"/>
    <w:rsid w:val="00482337"/>
    <w:rsid w:val="004824B9"/>
    <w:rsid w:val="00483BF3"/>
    <w:rsid w:val="0048441C"/>
    <w:rsid w:val="00484A50"/>
    <w:rsid w:val="00487A2D"/>
    <w:rsid w:val="00487C69"/>
    <w:rsid w:val="00491AC5"/>
    <w:rsid w:val="00491D8C"/>
    <w:rsid w:val="0049237F"/>
    <w:rsid w:val="00492F93"/>
    <w:rsid w:val="00494A14"/>
    <w:rsid w:val="0049548C"/>
    <w:rsid w:val="00496236"/>
    <w:rsid w:val="004969BB"/>
    <w:rsid w:val="004972D5"/>
    <w:rsid w:val="004A0134"/>
    <w:rsid w:val="004A0933"/>
    <w:rsid w:val="004A0B31"/>
    <w:rsid w:val="004A0CA4"/>
    <w:rsid w:val="004A1D50"/>
    <w:rsid w:val="004A283A"/>
    <w:rsid w:val="004A2D5C"/>
    <w:rsid w:val="004A44B3"/>
    <w:rsid w:val="004A44D9"/>
    <w:rsid w:val="004A4AB8"/>
    <w:rsid w:val="004A5014"/>
    <w:rsid w:val="004A50D0"/>
    <w:rsid w:val="004A623E"/>
    <w:rsid w:val="004A660B"/>
    <w:rsid w:val="004A6F6A"/>
    <w:rsid w:val="004B0EF8"/>
    <w:rsid w:val="004B1D84"/>
    <w:rsid w:val="004B1EBA"/>
    <w:rsid w:val="004B2512"/>
    <w:rsid w:val="004B44EB"/>
    <w:rsid w:val="004B4A15"/>
    <w:rsid w:val="004B595B"/>
    <w:rsid w:val="004B6498"/>
    <w:rsid w:val="004B6F36"/>
    <w:rsid w:val="004C001D"/>
    <w:rsid w:val="004C089A"/>
    <w:rsid w:val="004C23B0"/>
    <w:rsid w:val="004C2DBA"/>
    <w:rsid w:val="004C37EC"/>
    <w:rsid w:val="004C4A58"/>
    <w:rsid w:val="004C5044"/>
    <w:rsid w:val="004C57FE"/>
    <w:rsid w:val="004C5F79"/>
    <w:rsid w:val="004C75E0"/>
    <w:rsid w:val="004C78BB"/>
    <w:rsid w:val="004D0167"/>
    <w:rsid w:val="004D025C"/>
    <w:rsid w:val="004D05CC"/>
    <w:rsid w:val="004D0DFE"/>
    <w:rsid w:val="004D1028"/>
    <w:rsid w:val="004D2089"/>
    <w:rsid w:val="004D2F8B"/>
    <w:rsid w:val="004D2FEF"/>
    <w:rsid w:val="004D4265"/>
    <w:rsid w:val="004D4C29"/>
    <w:rsid w:val="004D4EE7"/>
    <w:rsid w:val="004D511A"/>
    <w:rsid w:val="004D5322"/>
    <w:rsid w:val="004D55E8"/>
    <w:rsid w:val="004D74B3"/>
    <w:rsid w:val="004D7D9C"/>
    <w:rsid w:val="004E03EA"/>
    <w:rsid w:val="004E38F3"/>
    <w:rsid w:val="004E4720"/>
    <w:rsid w:val="004E68BD"/>
    <w:rsid w:val="004E6E9D"/>
    <w:rsid w:val="004E7EDE"/>
    <w:rsid w:val="004E7EFD"/>
    <w:rsid w:val="004F134F"/>
    <w:rsid w:val="004F1769"/>
    <w:rsid w:val="004F2DA0"/>
    <w:rsid w:val="004F3914"/>
    <w:rsid w:val="004F5A6F"/>
    <w:rsid w:val="0050115E"/>
    <w:rsid w:val="00502FAB"/>
    <w:rsid w:val="00505101"/>
    <w:rsid w:val="005052AE"/>
    <w:rsid w:val="005053BE"/>
    <w:rsid w:val="00506ADD"/>
    <w:rsid w:val="00510239"/>
    <w:rsid w:val="00511503"/>
    <w:rsid w:val="005146E2"/>
    <w:rsid w:val="005153E1"/>
    <w:rsid w:val="00515F5C"/>
    <w:rsid w:val="005167AF"/>
    <w:rsid w:val="005178CA"/>
    <w:rsid w:val="0052015A"/>
    <w:rsid w:val="00520BC3"/>
    <w:rsid w:val="00521711"/>
    <w:rsid w:val="00521A43"/>
    <w:rsid w:val="005221CC"/>
    <w:rsid w:val="00522D77"/>
    <w:rsid w:val="00523239"/>
    <w:rsid w:val="0052358C"/>
    <w:rsid w:val="00524178"/>
    <w:rsid w:val="00524C21"/>
    <w:rsid w:val="005254B0"/>
    <w:rsid w:val="00525EE1"/>
    <w:rsid w:val="00526A6A"/>
    <w:rsid w:val="005301AD"/>
    <w:rsid w:val="00530977"/>
    <w:rsid w:val="00532474"/>
    <w:rsid w:val="0053254E"/>
    <w:rsid w:val="00533266"/>
    <w:rsid w:val="00533F08"/>
    <w:rsid w:val="00534899"/>
    <w:rsid w:val="00534965"/>
    <w:rsid w:val="00534A05"/>
    <w:rsid w:val="00534B33"/>
    <w:rsid w:val="00536760"/>
    <w:rsid w:val="005371DB"/>
    <w:rsid w:val="0053752B"/>
    <w:rsid w:val="005376B6"/>
    <w:rsid w:val="00537FFA"/>
    <w:rsid w:val="00541D37"/>
    <w:rsid w:val="00541DB9"/>
    <w:rsid w:val="00542C7F"/>
    <w:rsid w:val="00543E07"/>
    <w:rsid w:val="005440DB"/>
    <w:rsid w:val="00544136"/>
    <w:rsid w:val="00544704"/>
    <w:rsid w:val="005463F2"/>
    <w:rsid w:val="00546DAC"/>
    <w:rsid w:val="00547948"/>
    <w:rsid w:val="00547C37"/>
    <w:rsid w:val="0055028A"/>
    <w:rsid w:val="005512EA"/>
    <w:rsid w:val="00551E86"/>
    <w:rsid w:val="005523DF"/>
    <w:rsid w:val="005525AF"/>
    <w:rsid w:val="00552CA6"/>
    <w:rsid w:val="0055481D"/>
    <w:rsid w:val="00555245"/>
    <w:rsid w:val="00556556"/>
    <w:rsid w:val="00556AA2"/>
    <w:rsid w:val="00556E77"/>
    <w:rsid w:val="00557095"/>
    <w:rsid w:val="00557FCE"/>
    <w:rsid w:val="00561291"/>
    <w:rsid w:val="00561894"/>
    <w:rsid w:val="005618BD"/>
    <w:rsid w:val="00561C41"/>
    <w:rsid w:val="00562EED"/>
    <w:rsid w:val="00564AEB"/>
    <w:rsid w:val="00564C00"/>
    <w:rsid w:val="00564DA6"/>
    <w:rsid w:val="005658C8"/>
    <w:rsid w:val="00565990"/>
    <w:rsid w:val="00565A40"/>
    <w:rsid w:val="0056607B"/>
    <w:rsid w:val="00566081"/>
    <w:rsid w:val="0056651D"/>
    <w:rsid w:val="00567F83"/>
    <w:rsid w:val="005700BF"/>
    <w:rsid w:val="0057032A"/>
    <w:rsid w:val="00570915"/>
    <w:rsid w:val="0057152C"/>
    <w:rsid w:val="00572541"/>
    <w:rsid w:val="00572701"/>
    <w:rsid w:val="005737E5"/>
    <w:rsid w:val="005748C3"/>
    <w:rsid w:val="00575FA1"/>
    <w:rsid w:val="00576EFF"/>
    <w:rsid w:val="0057793A"/>
    <w:rsid w:val="00582796"/>
    <w:rsid w:val="00583B7B"/>
    <w:rsid w:val="00583DA4"/>
    <w:rsid w:val="0058405F"/>
    <w:rsid w:val="00584D98"/>
    <w:rsid w:val="00584FB8"/>
    <w:rsid w:val="005858B2"/>
    <w:rsid w:val="00585D94"/>
    <w:rsid w:val="005928FA"/>
    <w:rsid w:val="00592BBC"/>
    <w:rsid w:val="005954A8"/>
    <w:rsid w:val="00597328"/>
    <w:rsid w:val="005A11F7"/>
    <w:rsid w:val="005A1B2B"/>
    <w:rsid w:val="005A1E7D"/>
    <w:rsid w:val="005A23E5"/>
    <w:rsid w:val="005A26D4"/>
    <w:rsid w:val="005A2DEF"/>
    <w:rsid w:val="005A3155"/>
    <w:rsid w:val="005A3978"/>
    <w:rsid w:val="005A4A2A"/>
    <w:rsid w:val="005A774B"/>
    <w:rsid w:val="005B0451"/>
    <w:rsid w:val="005B0515"/>
    <w:rsid w:val="005B063D"/>
    <w:rsid w:val="005B1401"/>
    <w:rsid w:val="005B2DC0"/>
    <w:rsid w:val="005B48F5"/>
    <w:rsid w:val="005B4A5A"/>
    <w:rsid w:val="005B65B3"/>
    <w:rsid w:val="005B7728"/>
    <w:rsid w:val="005B7A4F"/>
    <w:rsid w:val="005C1C81"/>
    <w:rsid w:val="005C226C"/>
    <w:rsid w:val="005C22B1"/>
    <w:rsid w:val="005C4923"/>
    <w:rsid w:val="005C4C5C"/>
    <w:rsid w:val="005C5549"/>
    <w:rsid w:val="005C7EBE"/>
    <w:rsid w:val="005D0176"/>
    <w:rsid w:val="005D06BF"/>
    <w:rsid w:val="005D0EED"/>
    <w:rsid w:val="005D1CEB"/>
    <w:rsid w:val="005D1FA6"/>
    <w:rsid w:val="005D2712"/>
    <w:rsid w:val="005D2A68"/>
    <w:rsid w:val="005D31F1"/>
    <w:rsid w:val="005D34DF"/>
    <w:rsid w:val="005D4049"/>
    <w:rsid w:val="005D674B"/>
    <w:rsid w:val="005D755B"/>
    <w:rsid w:val="005E0731"/>
    <w:rsid w:val="005E07E5"/>
    <w:rsid w:val="005E1030"/>
    <w:rsid w:val="005E113B"/>
    <w:rsid w:val="005E1485"/>
    <w:rsid w:val="005E15E9"/>
    <w:rsid w:val="005E1BFC"/>
    <w:rsid w:val="005E2257"/>
    <w:rsid w:val="005E2625"/>
    <w:rsid w:val="005E3365"/>
    <w:rsid w:val="005E38D4"/>
    <w:rsid w:val="005E49FB"/>
    <w:rsid w:val="005E4CD2"/>
    <w:rsid w:val="005E6A65"/>
    <w:rsid w:val="005E704A"/>
    <w:rsid w:val="005F01AD"/>
    <w:rsid w:val="005F2196"/>
    <w:rsid w:val="005F4A8E"/>
    <w:rsid w:val="005F53BE"/>
    <w:rsid w:val="005F7BCC"/>
    <w:rsid w:val="00600921"/>
    <w:rsid w:val="00602373"/>
    <w:rsid w:val="0060246D"/>
    <w:rsid w:val="00602E97"/>
    <w:rsid w:val="006033C4"/>
    <w:rsid w:val="00604068"/>
    <w:rsid w:val="00605325"/>
    <w:rsid w:val="0060556C"/>
    <w:rsid w:val="00605BBC"/>
    <w:rsid w:val="00605D0B"/>
    <w:rsid w:val="00605E41"/>
    <w:rsid w:val="006060A4"/>
    <w:rsid w:val="00607063"/>
    <w:rsid w:val="00607576"/>
    <w:rsid w:val="00607F50"/>
    <w:rsid w:val="00607FF2"/>
    <w:rsid w:val="006119D3"/>
    <w:rsid w:val="00614791"/>
    <w:rsid w:val="0061544D"/>
    <w:rsid w:val="006157DC"/>
    <w:rsid w:val="006168B1"/>
    <w:rsid w:val="00617354"/>
    <w:rsid w:val="006174CE"/>
    <w:rsid w:val="00617C50"/>
    <w:rsid w:val="006209AB"/>
    <w:rsid w:val="00620D18"/>
    <w:rsid w:val="00620FBB"/>
    <w:rsid w:val="00622D26"/>
    <w:rsid w:val="00623BC3"/>
    <w:rsid w:val="00624851"/>
    <w:rsid w:val="006257A8"/>
    <w:rsid w:val="00627225"/>
    <w:rsid w:val="00627FBB"/>
    <w:rsid w:val="006301EC"/>
    <w:rsid w:val="00632BA6"/>
    <w:rsid w:val="00632F2C"/>
    <w:rsid w:val="00632F54"/>
    <w:rsid w:val="00633B1B"/>
    <w:rsid w:val="00634A10"/>
    <w:rsid w:val="00635684"/>
    <w:rsid w:val="006369C2"/>
    <w:rsid w:val="00637307"/>
    <w:rsid w:val="006415BA"/>
    <w:rsid w:val="00641D56"/>
    <w:rsid w:val="00642BFC"/>
    <w:rsid w:val="00645A3A"/>
    <w:rsid w:val="006461F5"/>
    <w:rsid w:val="0065248B"/>
    <w:rsid w:val="006534FE"/>
    <w:rsid w:val="00653500"/>
    <w:rsid w:val="0065367D"/>
    <w:rsid w:val="0065494B"/>
    <w:rsid w:val="006549E7"/>
    <w:rsid w:val="006555EE"/>
    <w:rsid w:val="00656BEC"/>
    <w:rsid w:val="006576D1"/>
    <w:rsid w:val="006576E2"/>
    <w:rsid w:val="00660FD3"/>
    <w:rsid w:val="006615AC"/>
    <w:rsid w:val="0066258F"/>
    <w:rsid w:val="00662841"/>
    <w:rsid w:val="00663629"/>
    <w:rsid w:val="0066392C"/>
    <w:rsid w:val="006640E7"/>
    <w:rsid w:val="00664323"/>
    <w:rsid w:val="006649AC"/>
    <w:rsid w:val="006700ED"/>
    <w:rsid w:val="00671F69"/>
    <w:rsid w:val="00672B1A"/>
    <w:rsid w:val="00672CB1"/>
    <w:rsid w:val="00672E4D"/>
    <w:rsid w:val="00673AA4"/>
    <w:rsid w:val="00673E11"/>
    <w:rsid w:val="00674ACE"/>
    <w:rsid w:val="00674B81"/>
    <w:rsid w:val="00675307"/>
    <w:rsid w:val="006754A7"/>
    <w:rsid w:val="00675708"/>
    <w:rsid w:val="00676493"/>
    <w:rsid w:val="00676C59"/>
    <w:rsid w:val="00680657"/>
    <w:rsid w:val="00683C27"/>
    <w:rsid w:val="00683D9C"/>
    <w:rsid w:val="00685163"/>
    <w:rsid w:val="00685237"/>
    <w:rsid w:val="00687677"/>
    <w:rsid w:val="00691724"/>
    <w:rsid w:val="0069259B"/>
    <w:rsid w:val="0069408F"/>
    <w:rsid w:val="00697EA1"/>
    <w:rsid w:val="006A2B4E"/>
    <w:rsid w:val="006A3795"/>
    <w:rsid w:val="006A40DA"/>
    <w:rsid w:val="006A4E28"/>
    <w:rsid w:val="006A4FAA"/>
    <w:rsid w:val="006A5167"/>
    <w:rsid w:val="006A6C65"/>
    <w:rsid w:val="006A7EBF"/>
    <w:rsid w:val="006B477F"/>
    <w:rsid w:val="006B4887"/>
    <w:rsid w:val="006B4A30"/>
    <w:rsid w:val="006B51A4"/>
    <w:rsid w:val="006B55F8"/>
    <w:rsid w:val="006B5875"/>
    <w:rsid w:val="006B6F12"/>
    <w:rsid w:val="006B750F"/>
    <w:rsid w:val="006C0009"/>
    <w:rsid w:val="006C0143"/>
    <w:rsid w:val="006C13FD"/>
    <w:rsid w:val="006C1688"/>
    <w:rsid w:val="006C31FD"/>
    <w:rsid w:val="006C379F"/>
    <w:rsid w:val="006C38D7"/>
    <w:rsid w:val="006C3920"/>
    <w:rsid w:val="006C3A42"/>
    <w:rsid w:val="006C3A81"/>
    <w:rsid w:val="006C46F8"/>
    <w:rsid w:val="006C56E0"/>
    <w:rsid w:val="006C6621"/>
    <w:rsid w:val="006C66B0"/>
    <w:rsid w:val="006D12C0"/>
    <w:rsid w:val="006D14E1"/>
    <w:rsid w:val="006D2259"/>
    <w:rsid w:val="006D26BC"/>
    <w:rsid w:val="006D371C"/>
    <w:rsid w:val="006D4637"/>
    <w:rsid w:val="006D487E"/>
    <w:rsid w:val="006D5019"/>
    <w:rsid w:val="006D6CEA"/>
    <w:rsid w:val="006D70CD"/>
    <w:rsid w:val="006D789C"/>
    <w:rsid w:val="006E0FF3"/>
    <w:rsid w:val="006E102E"/>
    <w:rsid w:val="006E2090"/>
    <w:rsid w:val="006E2AA4"/>
    <w:rsid w:val="006E3433"/>
    <w:rsid w:val="006E426D"/>
    <w:rsid w:val="006E5A88"/>
    <w:rsid w:val="006E67B2"/>
    <w:rsid w:val="006E73A6"/>
    <w:rsid w:val="006E7FB1"/>
    <w:rsid w:val="006F1A83"/>
    <w:rsid w:val="006F2325"/>
    <w:rsid w:val="006F27EE"/>
    <w:rsid w:val="006F30AF"/>
    <w:rsid w:val="006F32CA"/>
    <w:rsid w:val="006F564F"/>
    <w:rsid w:val="006F57F6"/>
    <w:rsid w:val="006F5A7A"/>
    <w:rsid w:val="006F6C94"/>
    <w:rsid w:val="00702EE8"/>
    <w:rsid w:val="007031B8"/>
    <w:rsid w:val="00703C3F"/>
    <w:rsid w:val="00704439"/>
    <w:rsid w:val="007051CD"/>
    <w:rsid w:val="0070575A"/>
    <w:rsid w:val="00705E15"/>
    <w:rsid w:val="007060ED"/>
    <w:rsid w:val="0070698C"/>
    <w:rsid w:val="00706B11"/>
    <w:rsid w:val="00710A7B"/>
    <w:rsid w:val="00710DF7"/>
    <w:rsid w:val="007118DD"/>
    <w:rsid w:val="00711F27"/>
    <w:rsid w:val="00712307"/>
    <w:rsid w:val="00712B70"/>
    <w:rsid w:val="00712C8F"/>
    <w:rsid w:val="00715B34"/>
    <w:rsid w:val="00716297"/>
    <w:rsid w:val="007168B2"/>
    <w:rsid w:val="00716DBC"/>
    <w:rsid w:val="00716E48"/>
    <w:rsid w:val="00716FD5"/>
    <w:rsid w:val="00717379"/>
    <w:rsid w:val="00720637"/>
    <w:rsid w:val="00720F63"/>
    <w:rsid w:val="007212B3"/>
    <w:rsid w:val="00722EF2"/>
    <w:rsid w:val="007231BB"/>
    <w:rsid w:val="0072419B"/>
    <w:rsid w:val="0072495B"/>
    <w:rsid w:val="0072607F"/>
    <w:rsid w:val="007322B9"/>
    <w:rsid w:val="00732F8B"/>
    <w:rsid w:val="00734268"/>
    <w:rsid w:val="00734903"/>
    <w:rsid w:val="0073528E"/>
    <w:rsid w:val="00736149"/>
    <w:rsid w:val="00736755"/>
    <w:rsid w:val="007367F7"/>
    <w:rsid w:val="00736C6D"/>
    <w:rsid w:val="0073794E"/>
    <w:rsid w:val="00737D6A"/>
    <w:rsid w:val="00740F84"/>
    <w:rsid w:val="007410D2"/>
    <w:rsid w:val="00741B9E"/>
    <w:rsid w:val="007428C9"/>
    <w:rsid w:val="00742FDB"/>
    <w:rsid w:val="00743538"/>
    <w:rsid w:val="00744B6C"/>
    <w:rsid w:val="00744C8B"/>
    <w:rsid w:val="007457D7"/>
    <w:rsid w:val="00747AEC"/>
    <w:rsid w:val="00747F38"/>
    <w:rsid w:val="007502D1"/>
    <w:rsid w:val="00750C33"/>
    <w:rsid w:val="00750D7C"/>
    <w:rsid w:val="007522CD"/>
    <w:rsid w:val="0075271C"/>
    <w:rsid w:val="00753BE2"/>
    <w:rsid w:val="00755D22"/>
    <w:rsid w:val="0075680A"/>
    <w:rsid w:val="007608BA"/>
    <w:rsid w:val="00762083"/>
    <w:rsid w:val="007621AF"/>
    <w:rsid w:val="00762441"/>
    <w:rsid w:val="0076246F"/>
    <w:rsid w:val="0076279B"/>
    <w:rsid w:val="00762B51"/>
    <w:rsid w:val="00763A10"/>
    <w:rsid w:val="00764733"/>
    <w:rsid w:val="00764A66"/>
    <w:rsid w:val="00765839"/>
    <w:rsid w:val="00770118"/>
    <w:rsid w:val="0077187E"/>
    <w:rsid w:val="00772D78"/>
    <w:rsid w:val="00773FA5"/>
    <w:rsid w:val="00775CF7"/>
    <w:rsid w:val="00777F13"/>
    <w:rsid w:val="00780141"/>
    <w:rsid w:val="00781E27"/>
    <w:rsid w:val="00782611"/>
    <w:rsid w:val="00782AF5"/>
    <w:rsid w:val="007839E5"/>
    <w:rsid w:val="00785226"/>
    <w:rsid w:val="007865FE"/>
    <w:rsid w:val="007869AC"/>
    <w:rsid w:val="00787CC6"/>
    <w:rsid w:val="00787DC9"/>
    <w:rsid w:val="00792944"/>
    <w:rsid w:val="00793E3D"/>
    <w:rsid w:val="007A4ADF"/>
    <w:rsid w:val="007A56ED"/>
    <w:rsid w:val="007A570E"/>
    <w:rsid w:val="007A69E8"/>
    <w:rsid w:val="007A6DCB"/>
    <w:rsid w:val="007A7D80"/>
    <w:rsid w:val="007B01E0"/>
    <w:rsid w:val="007B11AC"/>
    <w:rsid w:val="007B1B2E"/>
    <w:rsid w:val="007B323B"/>
    <w:rsid w:val="007B3CB0"/>
    <w:rsid w:val="007B42C3"/>
    <w:rsid w:val="007B46F8"/>
    <w:rsid w:val="007B48FF"/>
    <w:rsid w:val="007B53A1"/>
    <w:rsid w:val="007B54A1"/>
    <w:rsid w:val="007C216F"/>
    <w:rsid w:val="007C2F04"/>
    <w:rsid w:val="007C332E"/>
    <w:rsid w:val="007C3A7B"/>
    <w:rsid w:val="007C4301"/>
    <w:rsid w:val="007C4A8A"/>
    <w:rsid w:val="007C4C82"/>
    <w:rsid w:val="007C50B2"/>
    <w:rsid w:val="007C7765"/>
    <w:rsid w:val="007D0C03"/>
    <w:rsid w:val="007D1EC1"/>
    <w:rsid w:val="007D51DB"/>
    <w:rsid w:val="007D51E2"/>
    <w:rsid w:val="007D545D"/>
    <w:rsid w:val="007D6B63"/>
    <w:rsid w:val="007D6E85"/>
    <w:rsid w:val="007E383C"/>
    <w:rsid w:val="007E5773"/>
    <w:rsid w:val="007E5E3E"/>
    <w:rsid w:val="007E638B"/>
    <w:rsid w:val="007E639F"/>
    <w:rsid w:val="007E6596"/>
    <w:rsid w:val="007E717F"/>
    <w:rsid w:val="007E7ED5"/>
    <w:rsid w:val="007F02FA"/>
    <w:rsid w:val="007F0B4C"/>
    <w:rsid w:val="007F12E1"/>
    <w:rsid w:val="007F2693"/>
    <w:rsid w:val="007F2694"/>
    <w:rsid w:val="007F3275"/>
    <w:rsid w:val="007F3790"/>
    <w:rsid w:val="007F4638"/>
    <w:rsid w:val="007F466B"/>
    <w:rsid w:val="007F46EB"/>
    <w:rsid w:val="007F4DEB"/>
    <w:rsid w:val="007F66CC"/>
    <w:rsid w:val="007F68D2"/>
    <w:rsid w:val="007F7A5B"/>
    <w:rsid w:val="00800505"/>
    <w:rsid w:val="008013DC"/>
    <w:rsid w:val="0080235A"/>
    <w:rsid w:val="00802873"/>
    <w:rsid w:val="00803189"/>
    <w:rsid w:val="0080373C"/>
    <w:rsid w:val="00804168"/>
    <w:rsid w:val="00804771"/>
    <w:rsid w:val="00805321"/>
    <w:rsid w:val="008055CE"/>
    <w:rsid w:val="00806318"/>
    <w:rsid w:val="00806379"/>
    <w:rsid w:val="008064E4"/>
    <w:rsid w:val="008074D1"/>
    <w:rsid w:val="008107EE"/>
    <w:rsid w:val="00810DEF"/>
    <w:rsid w:val="008116D2"/>
    <w:rsid w:val="00812E19"/>
    <w:rsid w:val="00813681"/>
    <w:rsid w:val="00813CEC"/>
    <w:rsid w:val="008153E9"/>
    <w:rsid w:val="008154DF"/>
    <w:rsid w:val="0081586E"/>
    <w:rsid w:val="0081601A"/>
    <w:rsid w:val="00816DCA"/>
    <w:rsid w:val="00817007"/>
    <w:rsid w:val="008171FD"/>
    <w:rsid w:val="00820639"/>
    <w:rsid w:val="00821A91"/>
    <w:rsid w:val="00822BD9"/>
    <w:rsid w:val="0082311C"/>
    <w:rsid w:val="00823279"/>
    <w:rsid w:val="00823613"/>
    <w:rsid w:val="00823CF7"/>
    <w:rsid w:val="00830376"/>
    <w:rsid w:val="008323F8"/>
    <w:rsid w:val="00832F44"/>
    <w:rsid w:val="00833690"/>
    <w:rsid w:val="00834823"/>
    <w:rsid w:val="00835391"/>
    <w:rsid w:val="00835BBD"/>
    <w:rsid w:val="0083621C"/>
    <w:rsid w:val="00836447"/>
    <w:rsid w:val="008378B1"/>
    <w:rsid w:val="008403EF"/>
    <w:rsid w:val="00840669"/>
    <w:rsid w:val="00840BDD"/>
    <w:rsid w:val="00840E17"/>
    <w:rsid w:val="0084199C"/>
    <w:rsid w:val="00844876"/>
    <w:rsid w:val="008452FA"/>
    <w:rsid w:val="00845A00"/>
    <w:rsid w:val="00846BB9"/>
    <w:rsid w:val="0084710A"/>
    <w:rsid w:val="00847160"/>
    <w:rsid w:val="00850A6F"/>
    <w:rsid w:val="00850EE4"/>
    <w:rsid w:val="008514BE"/>
    <w:rsid w:val="008519E3"/>
    <w:rsid w:val="008532B8"/>
    <w:rsid w:val="00853310"/>
    <w:rsid w:val="00853A05"/>
    <w:rsid w:val="00855406"/>
    <w:rsid w:val="00855619"/>
    <w:rsid w:val="00855932"/>
    <w:rsid w:val="00855DB5"/>
    <w:rsid w:val="00855DC5"/>
    <w:rsid w:val="008574BC"/>
    <w:rsid w:val="00860C0F"/>
    <w:rsid w:val="00862CDA"/>
    <w:rsid w:val="00864A68"/>
    <w:rsid w:val="00865A69"/>
    <w:rsid w:val="0086685B"/>
    <w:rsid w:val="00867018"/>
    <w:rsid w:val="00867465"/>
    <w:rsid w:val="00867B4E"/>
    <w:rsid w:val="0087120E"/>
    <w:rsid w:val="008716CB"/>
    <w:rsid w:val="00872CD7"/>
    <w:rsid w:val="0087304C"/>
    <w:rsid w:val="00875179"/>
    <w:rsid w:val="008754CC"/>
    <w:rsid w:val="00877501"/>
    <w:rsid w:val="008804F4"/>
    <w:rsid w:val="00880CB2"/>
    <w:rsid w:val="00881694"/>
    <w:rsid w:val="00882F7F"/>
    <w:rsid w:val="008839C1"/>
    <w:rsid w:val="00883CD9"/>
    <w:rsid w:val="00884C97"/>
    <w:rsid w:val="008851E7"/>
    <w:rsid w:val="0088545A"/>
    <w:rsid w:val="008855F3"/>
    <w:rsid w:val="00885F33"/>
    <w:rsid w:val="008860EA"/>
    <w:rsid w:val="00887BB4"/>
    <w:rsid w:val="008905C4"/>
    <w:rsid w:val="00891155"/>
    <w:rsid w:val="008918ED"/>
    <w:rsid w:val="00891C07"/>
    <w:rsid w:val="008933B1"/>
    <w:rsid w:val="00893912"/>
    <w:rsid w:val="0089465A"/>
    <w:rsid w:val="008956D3"/>
    <w:rsid w:val="00895E40"/>
    <w:rsid w:val="008969AF"/>
    <w:rsid w:val="00897E55"/>
    <w:rsid w:val="008A1001"/>
    <w:rsid w:val="008A1C1B"/>
    <w:rsid w:val="008A32B1"/>
    <w:rsid w:val="008A336B"/>
    <w:rsid w:val="008A34CC"/>
    <w:rsid w:val="008A39F3"/>
    <w:rsid w:val="008A3A50"/>
    <w:rsid w:val="008A4B93"/>
    <w:rsid w:val="008A5E92"/>
    <w:rsid w:val="008A6056"/>
    <w:rsid w:val="008A67EF"/>
    <w:rsid w:val="008A69CC"/>
    <w:rsid w:val="008A7359"/>
    <w:rsid w:val="008A79E6"/>
    <w:rsid w:val="008B004C"/>
    <w:rsid w:val="008B083B"/>
    <w:rsid w:val="008B0CDA"/>
    <w:rsid w:val="008B15ED"/>
    <w:rsid w:val="008B20FD"/>
    <w:rsid w:val="008B30F9"/>
    <w:rsid w:val="008B49EE"/>
    <w:rsid w:val="008B6F1C"/>
    <w:rsid w:val="008C04E1"/>
    <w:rsid w:val="008C0693"/>
    <w:rsid w:val="008C12F2"/>
    <w:rsid w:val="008C1989"/>
    <w:rsid w:val="008C4F85"/>
    <w:rsid w:val="008C5C2B"/>
    <w:rsid w:val="008C6667"/>
    <w:rsid w:val="008C7B38"/>
    <w:rsid w:val="008C7C95"/>
    <w:rsid w:val="008D0239"/>
    <w:rsid w:val="008D092A"/>
    <w:rsid w:val="008D1FF3"/>
    <w:rsid w:val="008D2100"/>
    <w:rsid w:val="008D30C7"/>
    <w:rsid w:val="008D5617"/>
    <w:rsid w:val="008D68D6"/>
    <w:rsid w:val="008D6E0B"/>
    <w:rsid w:val="008D708C"/>
    <w:rsid w:val="008D73B7"/>
    <w:rsid w:val="008E4056"/>
    <w:rsid w:val="008E6507"/>
    <w:rsid w:val="008E73FB"/>
    <w:rsid w:val="008F0E7F"/>
    <w:rsid w:val="008F3430"/>
    <w:rsid w:val="008F5304"/>
    <w:rsid w:val="008F5B35"/>
    <w:rsid w:val="008F64CA"/>
    <w:rsid w:val="008F672B"/>
    <w:rsid w:val="008F79C7"/>
    <w:rsid w:val="009000B1"/>
    <w:rsid w:val="0090065A"/>
    <w:rsid w:val="00902879"/>
    <w:rsid w:val="0090374D"/>
    <w:rsid w:val="00903E41"/>
    <w:rsid w:val="0090459D"/>
    <w:rsid w:val="00904E15"/>
    <w:rsid w:val="00904E68"/>
    <w:rsid w:val="00904EA4"/>
    <w:rsid w:val="009053DE"/>
    <w:rsid w:val="00905DE7"/>
    <w:rsid w:val="00910142"/>
    <w:rsid w:val="0091058F"/>
    <w:rsid w:val="009112FE"/>
    <w:rsid w:val="0091198C"/>
    <w:rsid w:val="00911E25"/>
    <w:rsid w:val="00912B56"/>
    <w:rsid w:val="0091359C"/>
    <w:rsid w:val="009144C0"/>
    <w:rsid w:val="00914EA0"/>
    <w:rsid w:val="00914EBF"/>
    <w:rsid w:val="0091524B"/>
    <w:rsid w:val="0091598C"/>
    <w:rsid w:val="00915CB6"/>
    <w:rsid w:val="00916079"/>
    <w:rsid w:val="009161B8"/>
    <w:rsid w:val="00917BB9"/>
    <w:rsid w:val="009201B3"/>
    <w:rsid w:val="00922698"/>
    <w:rsid w:val="00922B26"/>
    <w:rsid w:val="009238C4"/>
    <w:rsid w:val="009241CC"/>
    <w:rsid w:val="00924A38"/>
    <w:rsid w:val="009252E6"/>
    <w:rsid w:val="009270E6"/>
    <w:rsid w:val="00927A48"/>
    <w:rsid w:val="00927EBC"/>
    <w:rsid w:val="00927FC9"/>
    <w:rsid w:val="00930A1A"/>
    <w:rsid w:val="00930F02"/>
    <w:rsid w:val="009328A2"/>
    <w:rsid w:val="009338D8"/>
    <w:rsid w:val="0093391E"/>
    <w:rsid w:val="00933B9D"/>
    <w:rsid w:val="00933DDF"/>
    <w:rsid w:val="00934098"/>
    <w:rsid w:val="00935A9F"/>
    <w:rsid w:val="00935B38"/>
    <w:rsid w:val="00935EAF"/>
    <w:rsid w:val="009373F4"/>
    <w:rsid w:val="009375DD"/>
    <w:rsid w:val="00937B3F"/>
    <w:rsid w:val="00937C66"/>
    <w:rsid w:val="00940796"/>
    <w:rsid w:val="0094142F"/>
    <w:rsid w:val="0094246A"/>
    <w:rsid w:val="00944352"/>
    <w:rsid w:val="009457A5"/>
    <w:rsid w:val="00945BBD"/>
    <w:rsid w:val="0094664D"/>
    <w:rsid w:val="0094678C"/>
    <w:rsid w:val="00946B4E"/>
    <w:rsid w:val="009472EE"/>
    <w:rsid w:val="00950414"/>
    <w:rsid w:val="009507D7"/>
    <w:rsid w:val="00951E4F"/>
    <w:rsid w:val="0095278D"/>
    <w:rsid w:val="009533EF"/>
    <w:rsid w:val="0095361F"/>
    <w:rsid w:val="00956259"/>
    <w:rsid w:val="0095633E"/>
    <w:rsid w:val="00957196"/>
    <w:rsid w:val="0096000A"/>
    <w:rsid w:val="009601BD"/>
    <w:rsid w:val="00960391"/>
    <w:rsid w:val="00960901"/>
    <w:rsid w:val="00961486"/>
    <w:rsid w:val="00963A36"/>
    <w:rsid w:val="0096558C"/>
    <w:rsid w:val="00967539"/>
    <w:rsid w:val="00967A5D"/>
    <w:rsid w:val="00967FED"/>
    <w:rsid w:val="0097166D"/>
    <w:rsid w:val="009719A4"/>
    <w:rsid w:val="00972639"/>
    <w:rsid w:val="00972EA8"/>
    <w:rsid w:val="00973387"/>
    <w:rsid w:val="00975403"/>
    <w:rsid w:val="00976DC9"/>
    <w:rsid w:val="00980A60"/>
    <w:rsid w:val="00982F07"/>
    <w:rsid w:val="00984401"/>
    <w:rsid w:val="00984647"/>
    <w:rsid w:val="00984CFB"/>
    <w:rsid w:val="009855A6"/>
    <w:rsid w:val="009858A2"/>
    <w:rsid w:val="00986240"/>
    <w:rsid w:val="009863A9"/>
    <w:rsid w:val="009872E1"/>
    <w:rsid w:val="00987719"/>
    <w:rsid w:val="00987C13"/>
    <w:rsid w:val="00990A4A"/>
    <w:rsid w:val="00990BAE"/>
    <w:rsid w:val="00991CBD"/>
    <w:rsid w:val="00992488"/>
    <w:rsid w:val="009929A2"/>
    <w:rsid w:val="009946FD"/>
    <w:rsid w:val="00994CED"/>
    <w:rsid w:val="00996F85"/>
    <w:rsid w:val="00997652"/>
    <w:rsid w:val="00997B6A"/>
    <w:rsid w:val="009A15E9"/>
    <w:rsid w:val="009A1E93"/>
    <w:rsid w:val="009A335A"/>
    <w:rsid w:val="009A365F"/>
    <w:rsid w:val="009A3BA3"/>
    <w:rsid w:val="009A506A"/>
    <w:rsid w:val="009A5EEB"/>
    <w:rsid w:val="009A615D"/>
    <w:rsid w:val="009A7530"/>
    <w:rsid w:val="009A78DC"/>
    <w:rsid w:val="009A7AA4"/>
    <w:rsid w:val="009B020C"/>
    <w:rsid w:val="009B0297"/>
    <w:rsid w:val="009B04FF"/>
    <w:rsid w:val="009B096F"/>
    <w:rsid w:val="009B0DC3"/>
    <w:rsid w:val="009B3D71"/>
    <w:rsid w:val="009B3E1E"/>
    <w:rsid w:val="009B4127"/>
    <w:rsid w:val="009B5D1C"/>
    <w:rsid w:val="009B6D47"/>
    <w:rsid w:val="009B73DD"/>
    <w:rsid w:val="009B75C8"/>
    <w:rsid w:val="009B7865"/>
    <w:rsid w:val="009B7A21"/>
    <w:rsid w:val="009B7BBB"/>
    <w:rsid w:val="009BEF30"/>
    <w:rsid w:val="009C00FC"/>
    <w:rsid w:val="009C065E"/>
    <w:rsid w:val="009C113F"/>
    <w:rsid w:val="009C12D3"/>
    <w:rsid w:val="009C1F9C"/>
    <w:rsid w:val="009C1FD7"/>
    <w:rsid w:val="009C24B3"/>
    <w:rsid w:val="009C42AC"/>
    <w:rsid w:val="009C4D98"/>
    <w:rsid w:val="009C528E"/>
    <w:rsid w:val="009D014B"/>
    <w:rsid w:val="009D082A"/>
    <w:rsid w:val="009D1F01"/>
    <w:rsid w:val="009D2650"/>
    <w:rsid w:val="009D2898"/>
    <w:rsid w:val="009D2E96"/>
    <w:rsid w:val="009D34FB"/>
    <w:rsid w:val="009D47DC"/>
    <w:rsid w:val="009D49A0"/>
    <w:rsid w:val="009D4E14"/>
    <w:rsid w:val="009D6758"/>
    <w:rsid w:val="009D6E64"/>
    <w:rsid w:val="009D71E8"/>
    <w:rsid w:val="009D7CA1"/>
    <w:rsid w:val="009D7E73"/>
    <w:rsid w:val="009E02BF"/>
    <w:rsid w:val="009E0D4E"/>
    <w:rsid w:val="009E2B34"/>
    <w:rsid w:val="009E2BDF"/>
    <w:rsid w:val="009E2FC0"/>
    <w:rsid w:val="009E33E9"/>
    <w:rsid w:val="009E39AB"/>
    <w:rsid w:val="009E4E6A"/>
    <w:rsid w:val="009E51AC"/>
    <w:rsid w:val="009E5C04"/>
    <w:rsid w:val="009E6571"/>
    <w:rsid w:val="009E6882"/>
    <w:rsid w:val="009E7DEE"/>
    <w:rsid w:val="009F058A"/>
    <w:rsid w:val="009F05A7"/>
    <w:rsid w:val="009F1C80"/>
    <w:rsid w:val="009F1FBC"/>
    <w:rsid w:val="009F2B53"/>
    <w:rsid w:val="009F3084"/>
    <w:rsid w:val="009F37F4"/>
    <w:rsid w:val="009F4686"/>
    <w:rsid w:val="009F5340"/>
    <w:rsid w:val="009F574C"/>
    <w:rsid w:val="009F6F0C"/>
    <w:rsid w:val="00A003BF"/>
    <w:rsid w:val="00A00A58"/>
    <w:rsid w:val="00A00D76"/>
    <w:rsid w:val="00A03B17"/>
    <w:rsid w:val="00A04DBA"/>
    <w:rsid w:val="00A0530E"/>
    <w:rsid w:val="00A059CD"/>
    <w:rsid w:val="00A05B89"/>
    <w:rsid w:val="00A06B18"/>
    <w:rsid w:val="00A11E77"/>
    <w:rsid w:val="00A13717"/>
    <w:rsid w:val="00A13833"/>
    <w:rsid w:val="00A1597B"/>
    <w:rsid w:val="00A172FB"/>
    <w:rsid w:val="00A1758A"/>
    <w:rsid w:val="00A17B14"/>
    <w:rsid w:val="00A17C99"/>
    <w:rsid w:val="00A20195"/>
    <w:rsid w:val="00A22889"/>
    <w:rsid w:val="00A23AA7"/>
    <w:rsid w:val="00A23E47"/>
    <w:rsid w:val="00A24459"/>
    <w:rsid w:val="00A26FDF"/>
    <w:rsid w:val="00A27511"/>
    <w:rsid w:val="00A27AB2"/>
    <w:rsid w:val="00A27C75"/>
    <w:rsid w:val="00A31575"/>
    <w:rsid w:val="00A31660"/>
    <w:rsid w:val="00A3385B"/>
    <w:rsid w:val="00A34920"/>
    <w:rsid w:val="00A34F63"/>
    <w:rsid w:val="00A35171"/>
    <w:rsid w:val="00A35352"/>
    <w:rsid w:val="00A35376"/>
    <w:rsid w:val="00A37A7E"/>
    <w:rsid w:val="00A37E24"/>
    <w:rsid w:val="00A400A9"/>
    <w:rsid w:val="00A40473"/>
    <w:rsid w:val="00A423FE"/>
    <w:rsid w:val="00A42EC3"/>
    <w:rsid w:val="00A43498"/>
    <w:rsid w:val="00A4409C"/>
    <w:rsid w:val="00A4563C"/>
    <w:rsid w:val="00A45657"/>
    <w:rsid w:val="00A45684"/>
    <w:rsid w:val="00A468F4"/>
    <w:rsid w:val="00A4749A"/>
    <w:rsid w:val="00A47A03"/>
    <w:rsid w:val="00A50254"/>
    <w:rsid w:val="00A503B1"/>
    <w:rsid w:val="00A50810"/>
    <w:rsid w:val="00A51C42"/>
    <w:rsid w:val="00A52ECB"/>
    <w:rsid w:val="00A53409"/>
    <w:rsid w:val="00A54020"/>
    <w:rsid w:val="00A54270"/>
    <w:rsid w:val="00A5518F"/>
    <w:rsid w:val="00A552DA"/>
    <w:rsid w:val="00A564D2"/>
    <w:rsid w:val="00A5683B"/>
    <w:rsid w:val="00A57F58"/>
    <w:rsid w:val="00A60927"/>
    <w:rsid w:val="00A61BDC"/>
    <w:rsid w:val="00A62666"/>
    <w:rsid w:val="00A63E25"/>
    <w:rsid w:val="00A6450E"/>
    <w:rsid w:val="00A64F8D"/>
    <w:rsid w:val="00A665A5"/>
    <w:rsid w:val="00A67408"/>
    <w:rsid w:val="00A6747F"/>
    <w:rsid w:val="00A70689"/>
    <w:rsid w:val="00A719E8"/>
    <w:rsid w:val="00A7250E"/>
    <w:rsid w:val="00A77CB7"/>
    <w:rsid w:val="00A806A3"/>
    <w:rsid w:val="00A80C13"/>
    <w:rsid w:val="00A81F61"/>
    <w:rsid w:val="00A82333"/>
    <w:rsid w:val="00A8341D"/>
    <w:rsid w:val="00A87062"/>
    <w:rsid w:val="00A91531"/>
    <w:rsid w:val="00A9163C"/>
    <w:rsid w:val="00A91DA1"/>
    <w:rsid w:val="00A92F8B"/>
    <w:rsid w:val="00A93E2E"/>
    <w:rsid w:val="00A9492D"/>
    <w:rsid w:val="00A94C31"/>
    <w:rsid w:val="00A9535D"/>
    <w:rsid w:val="00A95520"/>
    <w:rsid w:val="00A9595E"/>
    <w:rsid w:val="00A95D4B"/>
    <w:rsid w:val="00A966DC"/>
    <w:rsid w:val="00A9672F"/>
    <w:rsid w:val="00A9674D"/>
    <w:rsid w:val="00AA04F9"/>
    <w:rsid w:val="00AA182F"/>
    <w:rsid w:val="00AA20BC"/>
    <w:rsid w:val="00AA30FD"/>
    <w:rsid w:val="00AA4D09"/>
    <w:rsid w:val="00AA59FE"/>
    <w:rsid w:val="00AA5B61"/>
    <w:rsid w:val="00AA70F5"/>
    <w:rsid w:val="00AA7E85"/>
    <w:rsid w:val="00AB13EC"/>
    <w:rsid w:val="00AB1C0F"/>
    <w:rsid w:val="00AB281C"/>
    <w:rsid w:val="00AB2AC3"/>
    <w:rsid w:val="00AB2BC9"/>
    <w:rsid w:val="00AB2D1F"/>
    <w:rsid w:val="00AB3277"/>
    <w:rsid w:val="00AB34E5"/>
    <w:rsid w:val="00AB424A"/>
    <w:rsid w:val="00AB461F"/>
    <w:rsid w:val="00AB4CE6"/>
    <w:rsid w:val="00AB4DFD"/>
    <w:rsid w:val="00AB5838"/>
    <w:rsid w:val="00AB5B7F"/>
    <w:rsid w:val="00AB6792"/>
    <w:rsid w:val="00AB6F50"/>
    <w:rsid w:val="00AC2321"/>
    <w:rsid w:val="00AC2D60"/>
    <w:rsid w:val="00AC3F98"/>
    <w:rsid w:val="00AD0241"/>
    <w:rsid w:val="00AD0343"/>
    <w:rsid w:val="00AD0ED7"/>
    <w:rsid w:val="00AD112F"/>
    <w:rsid w:val="00AD1876"/>
    <w:rsid w:val="00AD2979"/>
    <w:rsid w:val="00AD316D"/>
    <w:rsid w:val="00AD3B5E"/>
    <w:rsid w:val="00AD405E"/>
    <w:rsid w:val="00AD40E6"/>
    <w:rsid w:val="00AD4338"/>
    <w:rsid w:val="00AD442F"/>
    <w:rsid w:val="00AD4973"/>
    <w:rsid w:val="00AD5040"/>
    <w:rsid w:val="00AD540A"/>
    <w:rsid w:val="00AD5861"/>
    <w:rsid w:val="00AD6305"/>
    <w:rsid w:val="00AD7087"/>
    <w:rsid w:val="00AD7277"/>
    <w:rsid w:val="00AE064F"/>
    <w:rsid w:val="00AE0CE5"/>
    <w:rsid w:val="00AE1516"/>
    <w:rsid w:val="00AE23E4"/>
    <w:rsid w:val="00AE2596"/>
    <w:rsid w:val="00AE2C4F"/>
    <w:rsid w:val="00AE2F20"/>
    <w:rsid w:val="00AE3F52"/>
    <w:rsid w:val="00AE41CB"/>
    <w:rsid w:val="00AE5447"/>
    <w:rsid w:val="00AE58D3"/>
    <w:rsid w:val="00AE591A"/>
    <w:rsid w:val="00AE721B"/>
    <w:rsid w:val="00AF10AF"/>
    <w:rsid w:val="00AF3FA3"/>
    <w:rsid w:val="00AF4616"/>
    <w:rsid w:val="00AF527A"/>
    <w:rsid w:val="00AF68C5"/>
    <w:rsid w:val="00AF7077"/>
    <w:rsid w:val="00AF7707"/>
    <w:rsid w:val="00B004A2"/>
    <w:rsid w:val="00B00F5C"/>
    <w:rsid w:val="00B02027"/>
    <w:rsid w:val="00B02123"/>
    <w:rsid w:val="00B02125"/>
    <w:rsid w:val="00B0341C"/>
    <w:rsid w:val="00B04B02"/>
    <w:rsid w:val="00B04B89"/>
    <w:rsid w:val="00B05111"/>
    <w:rsid w:val="00B05F2C"/>
    <w:rsid w:val="00B100AC"/>
    <w:rsid w:val="00B110D6"/>
    <w:rsid w:val="00B11AD5"/>
    <w:rsid w:val="00B11F58"/>
    <w:rsid w:val="00B12588"/>
    <w:rsid w:val="00B13027"/>
    <w:rsid w:val="00B1428C"/>
    <w:rsid w:val="00B14F22"/>
    <w:rsid w:val="00B1504B"/>
    <w:rsid w:val="00B15403"/>
    <w:rsid w:val="00B15FBA"/>
    <w:rsid w:val="00B160A3"/>
    <w:rsid w:val="00B1669E"/>
    <w:rsid w:val="00B16747"/>
    <w:rsid w:val="00B1691C"/>
    <w:rsid w:val="00B16C09"/>
    <w:rsid w:val="00B17414"/>
    <w:rsid w:val="00B17E61"/>
    <w:rsid w:val="00B20B8A"/>
    <w:rsid w:val="00B22493"/>
    <w:rsid w:val="00B22BC2"/>
    <w:rsid w:val="00B2449D"/>
    <w:rsid w:val="00B24D93"/>
    <w:rsid w:val="00B25DD6"/>
    <w:rsid w:val="00B260CE"/>
    <w:rsid w:val="00B266BB"/>
    <w:rsid w:val="00B26CAA"/>
    <w:rsid w:val="00B26FB7"/>
    <w:rsid w:val="00B2739F"/>
    <w:rsid w:val="00B30BE3"/>
    <w:rsid w:val="00B30DC0"/>
    <w:rsid w:val="00B33930"/>
    <w:rsid w:val="00B33C3D"/>
    <w:rsid w:val="00B34469"/>
    <w:rsid w:val="00B35076"/>
    <w:rsid w:val="00B35618"/>
    <w:rsid w:val="00B35EE6"/>
    <w:rsid w:val="00B36071"/>
    <w:rsid w:val="00B360FA"/>
    <w:rsid w:val="00B4644C"/>
    <w:rsid w:val="00B46453"/>
    <w:rsid w:val="00B46A3F"/>
    <w:rsid w:val="00B46C13"/>
    <w:rsid w:val="00B47A41"/>
    <w:rsid w:val="00B47E8E"/>
    <w:rsid w:val="00B50646"/>
    <w:rsid w:val="00B51E96"/>
    <w:rsid w:val="00B52263"/>
    <w:rsid w:val="00B523DD"/>
    <w:rsid w:val="00B523E8"/>
    <w:rsid w:val="00B5244E"/>
    <w:rsid w:val="00B5268C"/>
    <w:rsid w:val="00B536DC"/>
    <w:rsid w:val="00B53E4B"/>
    <w:rsid w:val="00B547F8"/>
    <w:rsid w:val="00B54EAC"/>
    <w:rsid w:val="00B607D0"/>
    <w:rsid w:val="00B60A31"/>
    <w:rsid w:val="00B60CAE"/>
    <w:rsid w:val="00B613B6"/>
    <w:rsid w:val="00B62757"/>
    <w:rsid w:val="00B6442F"/>
    <w:rsid w:val="00B65C5B"/>
    <w:rsid w:val="00B66354"/>
    <w:rsid w:val="00B66710"/>
    <w:rsid w:val="00B67289"/>
    <w:rsid w:val="00B70253"/>
    <w:rsid w:val="00B70908"/>
    <w:rsid w:val="00B717A3"/>
    <w:rsid w:val="00B71EC5"/>
    <w:rsid w:val="00B73B13"/>
    <w:rsid w:val="00B74569"/>
    <w:rsid w:val="00B745BD"/>
    <w:rsid w:val="00B74B4D"/>
    <w:rsid w:val="00B75F51"/>
    <w:rsid w:val="00B76D4E"/>
    <w:rsid w:val="00B77968"/>
    <w:rsid w:val="00B8060C"/>
    <w:rsid w:val="00B80682"/>
    <w:rsid w:val="00B81A27"/>
    <w:rsid w:val="00B81F2A"/>
    <w:rsid w:val="00B8421D"/>
    <w:rsid w:val="00B8498A"/>
    <w:rsid w:val="00B84B93"/>
    <w:rsid w:val="00B85018"/>
    <w:rsid w:val="00B85DCF"/>
    <w:rsid w:val="00B85F1E"/>
    <w:rsid w:val="00B8621C"/>
    <w:rsid w:val="00B91475"/>
    <w:rsid w:val="00B916EA"/>
    <w:rsid w:val="00B92D62"/>
    <w:rsid w:val="00B942DA"/>
    <w:rsid w:val="00B9445B"/>
    <w:rsid w:val="00B948C0"/>
    <w:rsid w:val="00B94D35"/>
    <w:rsid w:val="00B94EAE"/>
    <w:rsid w:val="00B95CD7"/>
    <w:rsid w:val="00B95D2E"/>
    <w:rsid w:val="00B96794"/>
    <w:rsid w:val="00B9686E"/>
    <w:rsid w:val="00B979A9"/>
    <w:rsid w:val="00B97C8D"/>
    <w:rsid w:val="00BA0077"/>
    <w:rsid w:val="00BA034E"/>
    <w:rsid w:val="00BA046C"/>
    <w:rsid w:val="00BA1581"/>
    <w:rsid w:val="00BA3065"/>
    <w:rsid w:val="00BA3B05"/>
    <w:rsid w:val="00BA57C3"/>
    <w:rsid w:val="00BA61E0"/>
    <w:rsid w:val="00BA6754"/>
    <w:rsid w:val="00BB0044"/>
    <w:rsid w:val="00BB1984"/>
    <w:rsid w:val="00BB1AD6"/>
    <w:rsid w:val="00BB212E"/>
    <w:rsid w:val="00BB3E3F"/>
    <w:rsid w:val="00BB4BEB"/>
    <w:rsid w:val="00BB56CA"/>
    <w:rsid w:val="00BB5A4F"/>
    <w:rsid w:val="00BB6D98"/>
    <w:rsid w:val="00BB7010"/>
    <w:rsid w:val="00BB7043"/>
    <w:rsid w:val="00BB721A"/>
    <w:rsid w:val="00BC0475"/>
    <w:rsid w:val="00BC0CCD"/>
    <w:rsid w:val="00BC11E8"/>
    <w:rsid w:val="00BC149E"/>
    <w:rsid w:val="00BC2306"/>
    <w:rsid w:val="00BC3366"/>
    <w:rsid w:val="00BC34B9"/>
    <w:rsid w:val="00BC42D1"/>
    <w:rsid w:val="00BC454F"/>
    <w:rsid w:val="00BC51BC"/>
    <w:rsid w:val="00BC630D"/>
    <w:rsid w:val="00BC6737"/>
    <w:rsid w:val="00BC6DD8"/>
    <w:rsid w:val="00BC6F03"/>
    <w:rsid w:val="00BC7516"/>
    <w:rsid w:val="00BC7CBC"/>
    <w:rsid w:val="00BC7F03"/>
    <w:rsid w:val="00BD0027"/>
    <w:rsid w:val="00BD0810"/>
    <w:rsid w:val="00BD1513"/>
    <w:rsid w:val="00BD1905"/>
    <w:rsid w:val="00BD1B90"/>
    <w:rsid w:val="00BD1CBB"/>
    <w:rsid w:val="00BD5630"/>
    <w:rsid w:val="00BD7E90"/>
    <w:rsid w:val="00BE1008"/>
    <w:rsid w:val="00BE16CD"/>
    <w:rsid w:val="00BE1740"/>
    <w:rsid w:val="00BE1783"/>
    <w:rsid w:val="00BE2139"/>
    <w:rsid w:val="00BE3349"/>
    <w:rsid w:val="00BE409A"/>
    <w:rsid w:val="00BE4C0A"/>
    <w:rsid w:val="00BE4E7F"/>
    <w:rsid w:val="00BE5291"/>
    <w:rsid w:val="00BE59C4"/>
    <w:rsid w:val="00BE5CA8"/>
    <w:rsid w:val="00BE6218"/>
    <w:rsid w:val="00BE67BE"/>
    <w:rsid w:val="00BE7ED5"/>
    <w:rsid w:val="00BE7EF5"/>
    <w:rsid w:val="00BF00C6"/>
    <w:rsid w:val="00BF089D"/>
    <w:rsid w:val="00BF08A7"/>
    <w:rsid w:val="00BF123A"/>
    <w:rsid w:val="00BF1541"/>
    <w:rsid w:val="00BF23F6"/>
    <w:rsid w:val="00BF30E0"/>
    <w:rsid w:val="00BF3CA2"/>
    <w:rsid w:val="00BF5F11"/>
    <w:rsid w:val="00BF6697"/>
    <w:rsid w:val="00BF6C73"/>
    <w:rsid w:val="00BF6D5E"/>
    <w:rsid w:val="00BF70E5"/>
    <w:rsid w:val="00C009DA"/>
    <w:rsid w:val="00C00CAE"/>
    <w:rsid w:val="00C01668"/>
    <w:rsid w:val="00C018CE"/>
    <w:rsid w:val="00C01D35"/>
    <w:rsid w:val="00C02423"/>
    <w:rsid w:val="00C02D90"/>
    <w:rsid w:val="00C030D0"/>
    <w:rsid w:val="00C05A88"/>
    <w:rsid w:val="00C05E25"/>
    <w:rsid w:val="00C069C8"/>
    <w:rsid w:val="00C075CD"/>
    <w:rsid w:val="00C076F0"/>
    <w:rsid w:val="00C07F5E"/>
    <w:rsid w:val="00C1071C"/>
    <w:rsid w:val="00C117C9"/>
    <w:rsid w:val="00C121B5"/>
    <w:rsid w:val="00C135B2"/>
    <w:rsid w:val="00C139D3"/>
    <w:rsid w:val="00C1487E"/>
    <w:rsid w:val="00C153BB"/>
    <w:rsid w:val="00C15830"/>
    <w:rsid w:val="00C17483"/>
    <w:rsid w:val="00C202A1"/>
    <w:rsid w:val="00C2080E"/>
    <w:rsid w:val="00C20E4C"/>
    <w:rsid w:val="00C21178"/>
    <w:rsid w:val="00C22D24"/>
    <w:rsid w:val="00C230F9"/>
    <w:rsid w:val="00C23E42"/>
    <w:rsid w:val="00C241F8"/>
    <w:rsid w:val="00C24B0D"/>
    <w:rsid w:val="00C2713C"/>
    <w:rsid w:val="00C30962"/>
    <w:rsid w:val="00C310F4"/>
    <w:rsid w:val="00C31852"/>
    <w:rsid w:val="00C3220B"/>
    <w:rsid w:val="00C334FF"/>
    <w:rsid w:val="00C337AB"/>
    <w:rsid w:val="00C33C97"/>
    <w:rsid w:val="00C34B56"/>
    <w:rsid w:val="00C35969"/>
    <w:rsid w:val="00C37533"/>
    <w:rsid w:val="00C37DCB"/>
    <w:rsid w:val="00C4039A"/>
    <w:rsid w:val="00C40989"/>
    <w:rsid w:val="00C41090"/>
    <w:rsid w:val="00C41CB1"/>
    <w:rsid w:val="00C42807"/>
    <w:rsid w:val="00C42B96"/>
    <w:rsid w:val="00C42FA8"/>
    <w:rsid w:val="00C43108"/>
    <w:rsid w:val="00C43A0C"/>
    <w:rsid w:val="00C45423"/>
    <w:rsid w:val="00C45DF8"/>
    <w:rsid w:val="00C46ADF"/>
    <w:rsid w:val="00C475BA"/>
    <w:rsid w:val="00C47AF2"/>
    <w:rsid w:val="00C47CA6"/>
    <w:rsid w:val="00C5096B"/>
    <w:rsid w:val="00C51DB4"/>
    <w:rsid w:val="00C54516"/>
    <w:rsid w:val="00C54A92"/>
    <w:rsid w:val="00C54E90"/>
    <w:rsid w:val="00C55266"/>
    <w:rsid w:val="00C56739"/>
    <w:rsid w:val="00C571A9"/>
    <w:rsid w:val="00C5731E"/>
    <w:rsid w:val="00C60175"/>
    <w:rsid w:val="00C61060"/>
    <w:rsid w:val="00C61425"/>
    <w:rsid w:val="00C617F9"/>
    <w:rsid w:val="00C62EDD"/>
    <w:rsid w:val="00C636ED"/>
    <w:rsid w:val="00C639F4"/>
    <w:rsid w:val="00C64D48"/>
    <w:rsid w:val="00C65821"/>
    <w:rsid w:val="00C66D73"/>
    <w:rsid w:val="00C705B0"/>
    <w:rsid w:val="00C70B16"/>
    <w:rsid w:val="00C71727"/>
    <w:rsid w:val="00C71843"/>
    <w:rsid w:val="00C7219B"/>
    <w:rsid w:val="00C742F9"/>
    <w:rsid w:val="00C751F6"/>
    <w:rsid w:val="00C757E5"/>
    <w:rsid w:val="00C76ECD"/>
    <w:rsid w:val="00C776A0"/>
    <w:rsid w:val="00C77D18"/>
    <w:rsid w:val="00C8036D"/>
    <w:rsid w:val="00C8074B"/>
    <w:rsid w:val="00C8130F"/>
    <w:rsid w:val="00C81D8A"/>
    <w:rsid w:val="00C8205A"/>
    <w:rsid w:val="00C829A3"/>
    <w:rsid w:val="00C83363"/>
    <w:rsid w:val="00C835BB"/>
    <w:rsid w:val="00C85916"/>
    <w:rsid w:val="00C85B42"/>
    <w:rsid w:val="00C863B9"/>
    <w:rsid w:val="00C86B4E"/>
    <w:rsid w:val="00C86BBA"/>
    <w:rsid w:val="00C86D46"/>
    <w:rsid w:val="00C86FF5"/>
    <w:rsid w:val="00C87233"/>
    <w:rsid w:val="00C87452"/>
    <w:rsid w:val="00C87B5A"/>
    <w:rsid w:val="00C91C15"/>
    <w:rsid w:val="00C9225F"/>
    <w:rsid w:val="00C928DA"/>
    <w:rsid w:val="00C92B98"/>
    <w:rsid w:val="00C92CFE"/>
    <w:rsid w:val="00C93FAB"/>
    <w:rsid w:val="00C94615"/>
    <w:rsid w:val="00C95607"/>
    <w:rsid w:val="00C95736"/>
    <w:rsid w:val="00C96C12"/>
    <w:rsid w:val="00CA1578"/>
    <w:rsid w:val="00CA1C48"/>
    <w:rsid w:val="00CA1F3D"/>
    <w:rsid w:val="00CA2299"/>
    <w:rsid w:val="00CA28DC"/>
    <w:rsid w:val="00CA2C88"/>
    <w:rsid w:val="00CA3C60"/>
    <w:rsid w:val="00CA52BB"/>
    <w:rsid w:val="00CA5781"/>
    <w:rsid w:val="00CA6315"/>
    <w:rsid w:val="00CB012A"/>
    <w:rsid w:val="00CB0417"/>
    <w:rsid w:val="00CB052C"/>
    <w:rsid w:val="00CB311A"/>
    <w:rsid w:val="00CB316E"/>
    <w:rsid w:val="00CB38BB"/>
    <w:rsid w:val="00CB4653"/>
    <w:rsid w:val="00CB4E4C"/>
    <w:rsid w:val="00CB5024"/>
    <w:rsid w:val="00CB6028"/>
    <w:rsid w:val="00CC117A"/>
    <w:rsid w:val="00CC1B11"/>
    <w:rsid w:val="00CC336D"/>
    <w:rsid w:val="00CC3491"/>
    <w:rsid w:val="00CC5A4E"/>
    <w:rsid w:val="00CC7A3C"/>
    <w:rsid w:val="00CD1D58"/>
    <w:rsid w:val="00CD45EA"/>
    <w:rsid w:val="00CD4923"/>
    <w:rsid w:val="00CD6BE9"/>
    <w:rsid w:val="00CE215F"/>
    <w:rsid w:val="00CE2703"/>
    <w:rsid w:val="00CE3EFD"/>
    <w:rsid w:val="00CE4421"/>
    <w:rsid w:val="00CE50D1"/>
    <w:rsid w:val="00CE629A"/>
    <w:rsid w:val="00CE68EA"/>
    <w:rsid w:val="00CE7A83"/>
    <w:rsid w:val="00CE7ADD"/>
    <w:rsid w:val="00CF048A"/>
    <w:rsid w:val="00CF08F9"/>
    <w:rsid w:val="00CF0AC8"/>
    <w:rsid w:val="00CF1B86"/>
    <w:rsid w:val="00CF26E9"/>
    <w:rsid w:val="00CF3519"/>
    <w:rsid w:val="00CF3623"/>
    <w:rsid w:val="00CF4D6E"/>
    <w:rsid w:val="00CF52EA"/>
    <w:rsid w:val="00CF7208"/>
    <w:rsid w:val="00CF7480"/>
    <w:rsid w:val="00D00AAB"/>
    <w:rsid w:val="00D01434"/>
    <w:rsid w:val="00D01A6D"/>
    <w:rsid w:val="00D02619"/>
    <w:rsid w:val="00D029D2"/>
    <w:rsid w:val="00D03340"/>
    <w:rsid w:val="00D050C5"/>
    <w:rsid w:val="00D05BB4"/>
    <w:rsid w:val="00D06107"/>
    <w:rsid w:val="00D06CF0"/>
    <w:rsid w:val="00D07DD3"/>
    <w:rsid w:val="00D07FE1"/>
    <w:rsid w:val="00D1077B"/>
    <w:rsid w:val="00D11137"/>
    <w:rsid w:val="00D116C1"/>
    <w:rsid w:val="00D120CB"/>
    <w:rsid w:val="00D124E2"/>
    <w:rsid w:val="00D12A4B"/>
    <w:rsid w:val="00D133FF"/>
    <w:rsid w:val="00D13F71"/>
    <w:rsid w:val="00D14700"/>
    <w:rsid w:val="00D14993"/>
    <w:rsid w:val="00D14FD9"/>
    <w:rsid w:val="00D1500F"/>
    <w:rsid w:val="00D15AE8"/>
    <w:rsid w:val="00D16358"/>
    <w:rsid w:val="00D20965"/>
    <w:rsid w:val="00D20982"/>
    <w:rsid w:val="00D20D9C"/>
    <w:rsid w:val="00D20FF3"/>
    <w:rsid w:val="00D21478"/>
    <w:rsid w:val="00D217BF"/>
    <w:rsid w:val="00D222F7"/>
    <w:rsid w:val="00D22E37"/>
    <w:rsid w:val="00D22F67"/>
    <w:rsid w:val="00D23B19"/>
    <w:rsid w:val="00D25F7B"/>
    <w:rsid w:val="00D26175"/>
    <w:rsid w:val="00D27087"/>
    <w:rsid w:val="00D27A7B"/>
    <w:rsid w:val="00D27B7B"/>
    <w:rsid w:val="00D27F6E"/>
    <w:rsid w:val="00D332B9"/>
    <w:rsid w:val="00D33AF1"/>
    <w:rsid w:val="00D33EA0"/>
    <w:rsid w:val="00D33EE3"/>
    <w:rsid w:val="00D33FE5"/>
    <w:rsid w:val="00D359C6"/>
    <w:rsid w:val="00D35EBE"/>
    <w:rsid w:val="00D3620D"/>
    <w:rsid w:val="00D40125"/>
    <w:rsid w:val="00D40750"/>
    <w:rsid w:val="00D40FE6"/>
    <w:rsid w:val="00D41547"/>
    <w:rsid w:val="00D4193B"/>
    <w:rsid w:val="00D4251F"/>
    <w:rsid w:val="00D4361B"/>
    <w:rsid w:val="00D43697"/>
    <w:rsid w:val="00D439D4"/>
    <w:rsid w:val="00D43CEF"/>
    <w:rsid w:val="00D44C2F"/>
    <w:rsid w:val="00D45580"/>
    <w:rsid w:val="00D45650"/>
    <w:rsid w:val="00D45DEC"/>
    <w:rsid w:val="00D46E7B"/>
    <w:rsid w:val="00D472FE"/>
    <w:rsid w:val="00D503E6"/>
    <w:rsid w:val="00D51A3D"/>
    <w:rsid w:val="00D52C18"/>
    <w:rsid w:val="00D5334D"/>
    <w:rsid w:val="00D5684B"/>
    <w:rsid w:val="00D570CE"/>
    <w:rsid w:val="00D57604"/>
    <w:rsid w:val="00D60872"/>
    <w:rsid w:val="00D60ADD"/>
    <w:rsid w:val="00D637A7"/>
    <w:rsid w:val="00D63A88"/>
    <w:rsid w:val="00D64482"/>
    <w:rsid w:val="00D648CD"/>
    <w:rsid w:val="00D65DC1"/>
    <w:rsid w:val="00D71D5F"/>
    <w:rsid w:val="00D7220D"/>
    <w:rsid w:val="00D72692"/>
    <w:rsid w:val="00D73D2B"/>
    <w:rsid w:val="00D741FD"/>
    <w:rsid w:val="00D74939"/>
    <w:rsid w:val="00D75D4C"/>
    <w:rsid w:val="00D76194"/>
    <w:rsid w:val="00D7638B"/>
    <w:rsid w:val="00D7718E"/>
    <w:rsid w:val="00D7760C"/>
    <w:rsid w:val="00D77764"/>
    <w:rsid w:val="00D80FA5"/>
    <w:rsid w:val="00D81DE8"/>
    <w:rsid w:val="00D82037"/>
    <w:rsid w:val="00D8261A"/>
    <w:rsid w:val="00D82904"/>
    <w:rsid w:val="00D833B9"/>
    <w:rsid w:val="00D83B72"/>
    <w:rsid w:val="00D8456D"/>
    <w:rsid w:val="00D84B2C"/>
    <w:rsid w:val="00D8620A"/>
    <w:rsid w:val="00D86798"/>
    <w:rsid w:val="00D86CDA"/>
    <w:rsid w:val="00D87B88"/>
    <w:rsid w:val="00D900C5"/>
    <w:rsid w:val="00D922B6"/>
    <w:rsid w:val="00D92332"/>
    <w:rsid w:val="00D937B4"/>
    <w:rsid w:val="00D95719"/>
    <w:rsid w:val="00D95BC6"/>
    <w:rsid w:val="00D96171"/>
    <w:rsid w:val="00D96D53"/>
    <w:rsid w:val="00D97B1D"/>
    <w:rsid w:val="00DA1243"/>
    <w:rsid w:val="00DA2B7F"/>
    <w:rsid w:val="00DA4032"/>
    <w:rsid w:val="00DA4642"/>
    <w:rsid w:val="00DA5D6B"/>
    <w:rsid w:val="00DB1057"/>
    <w:rsid w:val="00DB1A52"/>
    <w:rsid w:val="00DB1A71"/>
    <w:rsid w:val="00DB1EC3"/>
    <w:rsid w:val="00DB2557"/>
    <w:rsid w:val="00DB2D5E"/>
    <w:rsid w:val="00DB39ED"/>
    <w:rsid w:val="00DB48A0"/>
    <w:rsid w:val="00DB5303"/>
    <w:rsid w:val="00DB6411"/>
    <w:rsid w:val="00DB6492"/>
    <w:rsid w:val="00DB74FD"/>
    <w:rsid w:val="00DC1344"/>
    <w:rsid w:val="00DC1A68"/>
    <w:rsid w:val="00DC30C6"/>
    <w:rsid w:val="00DC4156"/>
    <w:rsid w:val="00DC44E6"/>
    <w:rsid w:val="00DC4F2A"/>
    <w:rsid w:val="00DC649D"/>
    <w:rsid w:val="00DC6BA3"/>
    <w:rsid w:val="00DC722E"/>
    <w:rsid w:val="00DC736B"/>
    <w:rsid w:val="00DD0A1C"/>
    <w:rsid w:val="00DD15DA"/>
    <w:rsid w:val="00DD3AD1"/>
    <w:rsid w:val="00DD3B1C"/>
    <w:rsid w:val="00DD3CA3"/>
    <w:rsid w:val="00DD4020"/>
    <w:rsid w:val="00DD41CD"/>
    <w:rsid w:val="00DD4292"/>
    <w:rsid w:val="00DD572F"/>
    <w:rsid w:val="00DD5ECE"/>
    <w:rsid w:val="00DD645B"/>
    <w:rsid w:val="00DD646C"/>
    <w:rsid w:val="00DD7155"/>
    <w:rsid w:val="00DE0184"/>
    <w:rsid w:val="00DE02AB"/>
    <w:rsid w:val="00DE09BB"/>
    <w:rsid w:val="00DE12A3"/>
    <w:rsid w:val="00DE4833"/>
    <w:rsid w:val="00DE5705"/>
    <w:rsid w:val="00DF1467"/>
    <w:rsid w:val="00DF1740"/>
    <w:rsid w:val="00DF2267"/>
    <w:rsid w:val="00DF26DB"/>
    <w:rsid w:val="00DF363F"/>
    <w:rsid w:val="00DF573B"/>
    <w:rsid w:val="00DF5743"/>
    <w:rsid w:val="00DF624F"/>
    <w:rsid w:val="00DF6D0F"/>
    <w:rsid w:val="00DF7C87"/>
    <w:rsid w:val="00E001A6"/>
    <w:rsid w:val="00E002D4"/>
    <w:rsid w:val="00E01412"/>
    <w:rsid w:val="00E01493"/>
    <w:rsid w:val="00E02373"/>
    <w:rsid w:val="00E02BCA"/>
    <w:rsid w:val="00E039E4"/>
    <w:rsid w:val="00E03B86"/>
    <w:rsid w:val="00E03F56"/>
    <w:rsid w:val="00E05041"/>
    <w:rsid w:val="00E06B00"/>
    <w:rsid w:val="00E11782"/>
    <w:rsid w:val="00E118EE"/>
    <w:rsid w:val="00E1320F"/>
    <w:rsid w:val="00E13216"/>
    <w:rsid w:val="00E133CD"/>
    <w:rsid w:val="00E138DD"/>
    <w:rsid w:val="00E14341"/>
    <w:rsid w:val="00E162D1"/>
    <w:rsid w:val="00E162DC"/>
    <w:rsid w:val="00E16C27"/>
    <w:rsid w:val="00E2023E"/>
    <w:rsid w:val="00E20B5A"/>
    <w:rsid w:val="00E24B27"/>
    <w:rsid w:val="00E2563E"/>
    <w:rsid w:val="00E25DB9"/>
    <w:rsid w:val="00E26595"/>
    <w:rsid w:val="00E27784"/>
    <w:rsid w:val="00E27862"/>
    <w:rsid w:val="00E301DB"/>
    <w:rsid w:val="00E3028B"/>
    <w:rsid w:val="00E304D6"/>
    <w:rsid w:val="00E3279E"/>
    <w:rsid w:val="00E33BAF"/>
    <w:rsid w:val="00E33DF1"/>
    <w:rsid w:val="00E35BBF"/>
    <w:rsid w:val="00E36074"/>
    <w:rsid w:val="00E36458"/>
    <w:rsid w:val="00E4199F"/>
    <w:rsid w:val="00E41EA3"/>
    <w:rsid w:val="00E424B6"/>
    <w:rsid w:val="00E424EF"/>
    <w:rsid w:val="00E42CD4"/>
    <w:rsid w:val="00E42E97"/>
    <w:rsid w:val="00E43C32"/>
    <w:rsid w:val="00E45BD9"/>
    <w:rsid w:val="00E46D02"/>
    <w:rsid w:val="00E46DAA"/>
    <w:rsid w:val="00E472F3"/>
    <w:rsid w:val="00E47AFE"/>
    <w:rsid w:val="00E5016D"/>
    <w:rsid w:val="00E506B7"/>
    <w:rsid w:val="00E508B7"/>
    <w:rsid w:val="00E510A2"/>
    <w:rsid w:val="00E52366"/>
    <w:rsid w:val="00E52980"/>
    <w:rsid w:val="00E5381C"/>
    <w:rsid w:val="00E5566B"/>
    <w:rsid w:val="00E56035"/>
    <w:rsid w:val="00E576B4"/>
    <w:rsid w:val="00E579C7"/>
    <w:rsid w:val="00E60166"/>
    <w:rsid w:val="00E616A9"/>
    <w:rsid w:val="00E620E7"/>
    <w:rsid w:val="00E62B8B"/>
    <w:rsid w:val="00E64605"/>
    <w:rsid w:val="00E656D9"/>
    <w:rsid w:val="00E66558"/>
    <w:rsid w:val="00E6690B"/>
    <w:rsid w:val="00E67A60"/>
    <w:rsid w:val="00E67DB3"/>
    <w:rsid w:val="00E67F7C"/>
    <w:rsid w:val="00E67FB5"/>
    <w:rsid w:val="00E700F5"/>
    <w:rsid w:val="00E7013A"/>
    <w:rsid w:val="00E704EA"/>
    <w:rsid w:val="00E70825"/>
    <w:rsid w:val="00E71A18"/>
    <w:rsid w:val="00E71FD3"/>
    <w:rsid w:val="00E725F1"/>
    <w:rsid w:val="00E729AA"/>
    <w:rsid w:val="00E72FF0"/>
    <w:rsid w:val="00E7312D"/>
    <w:rsid w:val="00E77CDC"/>
    <w:rsid w:val="00E809C7"/>
    <w:rsid w:val="00E80F54"/>
    <w:rsid w:val="00E814D6"/>
    <w:rsid w:val="00E848AA"/>
    <w:rsid w:val="00E85077"/>
    <w:rsid w:val="00E86558"/>
    <w:rsid w:val="00E8667F"/>
    <w:rsid w:val="00E86943"/>
    <w:rsid w:val="00E87053"/>
    <w:rsid w:val="00E8706B"/>
    <w:rsid w:val="00E87808"/>
    <w:rsid w:val="00E908C3"/>
    <w:rsid w:val="00E91265"/>
    <w:rsid w:val="00E9185B"/>
    <w:rsid w:val="00E92616"/>
    <w:rsid w:val="00E9263E"/>
    <w:rsid w:val="00E93BAA"/>
    <w:rsid w:val="00E94170"/>
    <w:rsid w:val="00E94276"/>
    <w:rsid w:val="00E9510F"/>
    <w:rsid w:val="00E95760"/>
    <w:rsid w:val="00E95E63"/>
    <w:rsid w:val="00E96F76"/>
    <w:rsid w:val="00E97274"/>
    <w:rsid w:val="00EA06CE"/>
    <w:rsid w:val="00EA0BF2"/>
    <w:rsid w:val="00EA16E7"/>
    <w:rsid w:val="00EA1FCD"/>
    <w:rsid w:val="00EA26D3"/>
    <w:rsid w:val="00EA596D"/>
    <w:rsid w:val="00EB15E2"/>
    <w:rsid w:val="00EB3B53"/>
    <w:rsid w:val="00EB3C42"/>
    <w:rsid w:val="00EB3EFE"/>
    <w:rsid w:val="00EB4FFE"/>
    <w:rsid w:val="00EB50D2"/>
    <w:rsid w:val="00EB5120"/>
    <w:rsid w:val="00EB6413"/>
    <w:rsid w:val="00EB64E4"/>
    <w:rsid w:val="00EB6DF7"/>
    <w:rsid w:val="00EC01D3"/>
    <w:rsid w:val="00EC0843"/>
    <w:rsid w:val="00EC1148"/>
    <w:rsid w:val="00EC1431"/>
    <w:rsid w:val="00EC19BD"/>
    <w:rsid w:val="00EC1B3A"/>
    <w:rsid w:val="00EC1F8C"/>
    <w:rsid w:val="00EC22AB"/>
    <w:rsid w:val="00EC2583"/>
    <w:rsid w:val="00EC312C"/>
    <w:rsid w:val="00EC352C"/>
    <w:rsid w:val="00EC363E"/>
    <w:rsid w:val="00EC439E"/>
    <w:rsid w:val="00EC62C5"/>
    <w:rsid w:val="00EC6E5E"/>
    <w:rsid w:val="00EC7B6F"/>
    <w:rsid w:val="00EC7D36"/>
    <w:rsid w:val="00ED0243"/>
    <w:rsid w:val="00ED0522"/>
    <w:rsid w:val="00ED0F2B"/>
    <w:rsid w:val="00ED13A5"/>
    <w:rsid w:val="00ED20CC"/>
    <w:rsid w:val="00ED3C74"/>
    <w:rsid w:val="00ED4AD3"/>
    <w:rsid w:val="00ED5CBD"/>
    <w:rsid w:val="00ED684D"/>
    <w:rsid w:val="00ED7037"/>
    <w:rsid w:val="00EE00D9"/>
    <w:rsid w:val="00EE229A"/>
    <w:rsid w:val="00EE2B83"/>
    <w:rsid w:val="00EE36B4"/>
    <w:rsid w:val="00EE4909"/>
    <w:rsid w:val="00EE4B90"/>
    <w:rsid w:val="00EE4DB9"/>
    <w:rsid w:val="00EE581E"/>
    <w:rsid w:val="00EE63BD"/>
    <w:rsid w:val="00EE7D66"/>
    <w:rsid w:val="00EF0D2C"/>
    <w:rsid w:val="00EF0E51"/>
    <w:rsid w:val="00EF11BF"/>
    <w:rsid w:val="00EF248F"/>
    <w:rsid w:val="00EF4BC4"/>
    <w:rsid w:val="00EF5CF8"/>
    <w:rsid w:val="00EF7B1E"/>
    <w:rsid w:val="00EF7F5E"/>
    <w:rsid w:val="00F02794"/>
    <w:rsid w:val="00F0399C"/>
    <w:rsid w:val="00F041EF"/>
    <w:rsid w:val="00F04E17"/>
    <w:rsid w:val="00F05284"/>
    <w:rsid w:val="00F05E78"/>
    <w:rsid w:val="00F06044"/>
    <w:rsid w:val="00F064CF"/>
    <w:rsid w:val="00F067A3"/>
    <w:rsid w:val="00F11852"/>
    <w:rsid w:val="00F11B80"/>
    <w:rsid w:val="00F11FAE"/>
    <w:rsid w:val="00F12836"/>
    <w:rsid w:val="00F12E85"/>
    <w:rsid w:val="00F12F05"/>
    <w:rsid w:val="00F15553"/>
    <w:rsid w:val="00F16704"/>
    <w:rsid w:val="00F20FB7"/>
    <w:rsid w:val="00F21110"/>
    <w:rsid w:val="00F21263"/>
    <w:rsid w:val="00F21429"/>
    <w:rsid w:val="00F218AD"/>
    <w:rsid w:val="00F21D12"/>
    <w:rsid w:val="00F21D35"/>
    <w:rsid w:val="00F222FF"/>
    <w:rsid w:val="00F22C7B"/>
    <w:rsid w:val="00F22D86"/>
    <w:rsid w:val="00F23410"/>
    <w:rsid w:val="00F23F84"/>
    <w:rsid w:val="00F25219"/>
    <w:rsid w:val="00F26B20"/>
    <w:rsid w:val="00F31D1D"/>
    <w:rsid w:val="00F32ED0"/>
    <w:rsid w:val="00F34472"/>
    <w:rsid w:val="00F3490F"/>
    <w:rsid w:val="00F36B97"/>
    <w:rsid w:val="00F37E55"/>
    <w:rsid w:val="00F40331"/>
    <w:rsid w:val="00F421CF"/>
    <w:rsid w:val="00F423B1"/>
    <w:rsid w:val="00F430AB"/>
    <w:rsid w:val="00F44BA6"/>
    <w:rsid w:val="00F44DEA"/>
    <w:rsid w:val="00F456A0"/>
    <w:rsid w:val="00F46761"/>
    <w:rsid w:val="00F47187"/>
    <w:rsid w:val="00F50357"/>
    <w:rsid w:val="00F5076A"/>
    <w:rsid w:val="00F51104"/>
    <w:rsid w:val="00F520D9"/>
    <w:rsid w:val="00F523F1"/>
    <w:rsid w:val="00F5260A"/>
    <w:rsid w:val="00F52735"/>
    <w:rsid w:val="00F532F3"/>
    <w:rsid w:val="00F538F4"/>
    <w:rsid w:val="00F54504"/>
    <w:rsid w:val="00F55B8E"/>
    <w:rsid w:val="00F55D8B"/>
    <w:rsid w:val="00F5638E"/>
    <w:rsid w:val="00F575B3"/>
    <w:rsid w:val="00F57E37"/>
    <w:rsid w:val="00F60164"/>
    <w:rsid w:val="00F6103F"/>
    <w:rsid w:val="00F6211F"/>
    <w:rsid w:val="00F623A8"/>
    <w:rsid w:val="00F62A08"/>
    <w:rsid w:val="00F637D6"/>
    <w:rsid w:val="00F6385C"/>
    <w:rsid w:val="00F6481D"/>
    <w:rsid w:val="00F6502B"/>
    <w:rsid w:val="00F65316"/>
    <w:rsid w:val="00F667E6"/>
    <w:rsid w:val="00F674A5"/>
    <w:rsid w:val="00F67EB3"/>
    <w:rsid w:val="00F725A9"/>
    <w:rsid w:val="00F72BB0"/>
    <w:rsid w:val="00F72EE1"/>
    <w:rsid w:val="00F736D7"/>
    <w:rsid w:val="00F74CB1"/>
    <w:rsid w:val="00F75786"/>
    <w:rsid w:val="00F81007"/>
    <w:rsid w:val="00F8100B"/>
    <w:rsid w:val="00F81753"/>
    <w:rsid w:val="00F81A33"/>
    <w:rsid w:val="00F81BA5"/>
    <w:rsid w:val="00F82558"/>
    <w:rsid w:val="00F834E5"/>
    <w:rsid w:val="00F848CC"/>
    <w:rsid w:val="00F84D24"/>
    <w:rsid w:val="00F86978"/>
    <w:rsid w:val="00F87B43"/>
    <w:rsid w:val="00F87D3F"/>
    <w:rsid w:val="00F90792"/>
    <w:rsid w:val="00F90B0B"/>
    <w:rsid w:val="00F91AC9"/>
    <w:rsid w:val="00F92F32"/>
    <w:rsid w:val="00F93D54"/>
    <w:rsid w:val="00F9434B"/>
    <w:rsid w:val="00FA1C26"/>
    <w:rsid w:val="00FA579A"/>
    <w:rsid w:val="00FA5BE8"/>
    <w:rsid w:val="00FA5C13"/>
    <w:rsid w:val="00FA717D"/>
    <w:rsid w:val="00FA7364"/>
    <w:rsid w:val="00FB2247"/>
    <w:rsid w:val="00FB3145"/>
    <w:rsid w:val="00FB44FF"/>
    <w:rsid w:val="00FB4E3A"/>
    <w:rsid w:val="00FB517D"/>
    <w:rsid w:val="00FB5EA9"/>
    <w:rsid w:val="00FB6812"/>
    <w:rsid w:val="00FB724C"/>
    <w:rsid w:val="00FC0184"/>
    <w:rsid w:val="00FC03D9"/>
    <w:rsid w:val="00FC1DD3"/>
    <w:rsid w:val="00FC203E"/>
    <w:rsid w:val="00FC2443"/>
    <w:rsid w:val="00FC2C91"/>
    <w:rsid w:val="00FC3471"/>
    <w:rsid w:val="00FC3632"/>
    <w:rsid w:val="00FC725A"/>
    <w:rsid w:val="00FD01FC"/>
    <w:rsid w:val="00FD07A5"/>
    <w:rsid w:val="00FD37BA"/>
    <w:rsid w:val="00FD3D07"/>
    <w:rsid w:val="00FD44D7"/>
    <w:rsid w:val="00FD44E0"/>
    <w:rsid w:val="00FD49F7"/>
    <w:rsid w:val="00FD4D85"/>
    <w:rsid w:val="00FD66E1"/>
    <w:rsid w:val="00FD72BA"/>
    <w:rsid w:val="00FD7C53"/>
    <w:rsid w:val="00FE151D"/>
    <w:rsid w:val="00FE15FE"/>
    <w:rsid w:val="00FE26B1"/>
    <w:rsid w:val="00FE4C76"/>
    <w:rsid w:val="00FE6BDF"/>
    <w:rsid w:val="00FE6E77"/>
    <w:rsid w:val="00FE7279"/>
    <w:rsid w:val="00FE7581"/>
    <w:rsid w:val="00FE7A34"/>
    <w:rsid w:val="00FF1118"/>
    <w:rsid w:val="00FF13AC"/>
    <w:rsid w:val="00FF19C7"/>
    <w:rsid w:val="00FF2C3D"/>
    <w:rsid w:val="00FF4A12"/>
    <w:rsid w:val="00FF506D"/>
    <w:rsid w:val="00FF56B0"/>
    <w:rsid w:val="00FF599B"/>
    <w:rsid w:val="00FF5AD9"/>
    <w:rsid w:val="00FF6C78"/>
    <w:rsid w:val="00FF732C"/>
    <w:rsid w:val="019A39FF"/>
    <w:rsid w:val="01E8D678"/>
    <w:rsid w:val="02043764"/>
    <w:rsid w:val="021C2135"/>
    <w:rsid w:val="03041DAA"/>
    <w:rsid w:val="03A97F0C"/>
    <w:rsid w:val="040DAD7E"/>
    <w:rsid w:val="047D52D9"/>
    <w:rsid w:val="048954E2"/>
    <w:rsid w:val="051069E8"/>
    <w:rsid w:val="05A97DDF"/>
    <w:rsid w:val="060575DB"/>
    <w:rsid w:val="06628302"/>
    <w:rsid w:val="067F4F62"/>
    <w:rsid w:val="0706A539"/>
    <w:rsid w:val="08BF0209"/>
    <w:rsid w:val="0913AE69"/>
    <w:rsid w:val="092C5ED9"/>
    <w:rsid w:val="095BBFB5"/>
    <w:rsid w:val="0A9BA0B0"/>
    <w:rsid w:val="0BFB6AB7"/>
    <w:rsid w:val="0D3F0A98"/>
    <w:rsid w:val="0D90E3B8"/>
    <w:rsid w:val="0F1805F1"/>
    <w:rsid w:val="0F22852E"/>
    <w:rsid w:val="0FB9692E"/>
    <w:rsid w:val="111680BB"/>
    <w:rsid w:val="111D9C64"/>
    <w:rsid w:val="11220977"/>
    <w:rsid w:val="11A321C0"/>
    <w:rsid w:val="11A5D5ED"/>
    <w:rsid w:val="12646C9F"/>
    <w:rsid w:val="128607D6"/>
    <w:rsid w:val="12DD6BED"/>
    <w:rsid w:val="13893D39"/>
    <w:rsid w:val="14A76632"/>
    <w:rsid w:val="15C9194B"/>
    <w:rsid w:val="163A48CE"/>
    <w:rsid w:val="16433693"/>
    <w:rsid w:val="166323A7"/>
    <w:rsid w:val="1708843E"/>
    <w:rsid w:val="177E1209"/>
    <w:rsid w:val="17D7196E"/>
    <w:rsid w:val="1814E4A0"/>
    <w:rsid w:val="18871462"/>
    <w:rsid w:val="19098BA8"/>
    <w:rsid w:val="19857A04"/>
    <w:rsid w:val="1989F7F8"/>
    <w:rsid w:val="1A9C8A6E"/>
    <w:rsid w:val="1AFD7F59"/>
    <w:rsid w:val="1B6A12B6"/>
    <w:rsid w:val="1CB455F9"/>
    <w:rsid w:val="1CCF743B"/>
    <w:rsid w:val="1CEAE880"/>
    <w:rsid w:val="1D6F1AA2"/>
    <w:rsid w:val="1E183F21"/>
    <w:rsid w:val="1EA631AC"/>
    <w:rsid w:val="1EEBEFEA"/>
    <w:rsid w:val="1F34A871"/>
    <w:rsid w:val="1F966161"/>
    <w:rsid w:val="1FA3496F"/>
    <w:rsid w:val="1FEA18D9"/>
    <w:rsid w:val="20450B34"/>
    <w:rsid w:val="212C2711"/>
    <w:rsid w:val="2185E93A"/>
    <w:rsid w:val="2247C766"/>
    <w:rsid w:val="22D348DF"/>
    <w:rsid w:val="245D915B"/>
    <w:rsid w:val="246257AF"/>
    <w:rsid w:val="248DE17E"/>
    <w:rsid w:val="24F0E39C"/>
    <w:rsid w:val="25588C1F"/>
    <w:rsid w:val="25822F25"/>
    <w:rsid w:val="25BAAE61"/>
    <w:rsid w:val="25CB58FF"/>
    <w:rsid w:val="25F8282D"/>
    <w:rsid w:val="2631E900"/>
    <w:rsid w:val="26403200"/>
    <w:rsid w:val="26AB3B11"/>
    <w:rsid w:val="27DC0261"/>
    <w:rsid w:val="291ECB5D"/>
    <w:rsid w:val="2A438CD3"/>
    <w:rsid w:val="2A492022"/>
    <w:rsid w:val="2A81BF0A"/>
    <w:rsid w:val="2A92CF0D"/>
    <w:rsid w:val="2AEE9A5F"/>
    <w:rsid w:val="2B168CEB"/>
    <w:rsid w:val="2F644CCF"/>
    <w:rsid w:val="3210415C"/>
    <w:rsid w:val="32A4CFAB"/>
    <w:rsid w:val="32C5ADA3"/>
    <w:rsid w:val="3326A28E"/>
    <w:rsid w:val="33663118"/>
    <w:rsid w:val="337ED46D"/>
    <w:rsid w:val="34E10C91"/>
    <w:rsid w:val="35951FFF"/>
    <w:rsid w:val="3636611F"/>
    <w:rsid w:val="371CE045"/>
    <w:rsid w:val="372DA8D5"/>
    <w:rsid w:val="385F4364"/>
    <w:rsid w:val="39EA4A36"/>
    <w:rsid w:val="3A1E8DE3"/>
    <w:rsid w:val="3AE0ED10"/>
    <w:rsid w:val="3DBBFDDE"/>
    <w:rsid w:val="3F17CB8D"/>
    <w:rsid w:val="3F9887B8"/>
    <w:rsid w:val="3F997D51"/>
    <w:rsid w:val="405C2B42"/>
    <w:rsid w:val="4126D8AF"/>
    <w:rsid w:val="4273A307"/>
    <w:rsid w:val="434C96D6"/>
    <w:rsid w:val="4391AC0C"/>
    <w:rsid w:val="439381B7"/>
    <w:rsid w:val="4491F356"/>
    <w:rsid w:val="45FD6234"/>
    <w:rsid w:val="46AD0171"/>
    <w:rsid w:val="472D443D"/>
    <w:rsid w:val="482D0A32"/>
    <w:rsid w:val="4870B4C9"/>
    <w:rsid w:val="4A3FA769"/>
    <w:rsid w:val="4A4A7BD8"/>
    <w:rsid w:val="4A7E8330"/>
    <w:rsid w:val="4AA18573"/>
    <w:rsid w:val="4AC61F0A"/>
    <w:rsid w:val="4AEC84EA"/>
    <w:rsid w:val="4B8714AA"/>
    <w:rsid w:val="4BA8558B"/>
    <w:rsid w:val="4C1FE54C"/>
    <w:rsid w:val="4C7178DC"/>
    <w:rsid w:val="4D2C5506"/>
    <w:rsid w:val="4D57A3F7"/>
    <w:rsid w:val="4D75D595"/>
    <w:rsid w:val="4EEFDB7E"/>
    <w:rsid w:val="4FCA419E"/>
    <w:rsid w:val="50387A9D"/>
    <w:rsid w:val="50824D4F"/>
    <w:rsid w:val="50F5E3F6"/>
    <w:rsid w:val="531411B3"/>
    <w:rsid w:val="5492CBFD"/>
    <w:rsid w:val="5527E413"/>
    <w:rsid w:val="553D8BA6"/>
    <w:rsid w:val="55A21338"/>
    <w:rsid w:val="55A23DD6"/>
    <w:rsid w:val="564225DF"/>
    <w:rsid w:val="568FF525"/>
    <w:rsid w:val="56C9B419"/>
    <w:rsid w:val="5757FAB0"/>
    <w:rsid w:val="585412B8"/>
    <w:rsid w:val="585B1B74"/>
    <w:rsid w:val="58639F0C"/>
    <w:rsid w:val="58B2BFEE"/>
    <w:rsid w:val="5A97F74A"/>
    <w:rsid w:val="5B509BD2"/>
    <w:rsid w:val="5C01E1F6"/>
    <w:rsid w:val="5C38969D"/>
    <w:rsid w:val="5C827F8F"/>
    <w:rsid w:val="5EC57588"/>
    <w:rsid w:val="5EE81A3E"/>
    <w:rsid w:val="5F88EA77"/>
    <w:rsid w:val="602A4083"/>
    <w:rsid w:val="6162A59F"/>
    <w:rsid w:val="62194258"/>
    <w:rsid w:val="622873F7"/>
    <w:rsid w:val="630034F6"/>
    <w:rsid w:val="63FA243D"/>
    <w:rsid w:val="64286790"/>
    <w:rsid w:val="6443A882"/>
    <w:rsid w:val="647C3269"/>
    <w:rsid w:val="665917D1"/>
    <w:rsid w:val="672D04CF"/>
    <w:rsid w:val="675342FB"/>
    <w:rsid w:val="6798EFEF"/>
    <w:rsid w:val="68D9374A"/>
    <w:rsid w:val="696C9B99"/>
    <w:rsid w:val="69F9CB17"/>
    <w:rsid w:val="6A273E56"/>
    <w:rsid w:val="6A40BA44"/>
    <w:rsid w:val="6C61CAE2"/>
    <w:rsid w:val="6D785B06"/>
    <w:rsid w:val="6DD1626B"/>
    <w:rsid w:val="6F0F46DD"/>
    <w:rsid w:val="6F920872"/>
    <w:rsid w:val="705DA199"/>
    <w:rsid w:val="70E16E0D"/>
    <w:rsid w:val="71A325A2"/>
    <w:rsid w:val="71A7DB7B"/>
    <w:rsid w:val="7226595F"/>
    <w:rsid w:val="725BCD89"/>
    <w:rsid w:val="7315CF0A"/>
    <w:rsid w:val="742241E3"/>
    <w:rsid w:val="74DB5F7D"/>
    <w:rsid w:val="7517B044"/>
    <w:rsid w:val="754D8F3F"/>
    <w:rsid w:val="75B90F75"/>
    <w:rsid w:val="75F79F83"/>
    <w:rsid w:val="76D03743"/>
    <w:rsid w:val="76DD75BF"/>
    <w:rsid w:val="772FDB9B"/>
    <w:rsid w:val="7755664B"/>
    <w:rsid w:val="7A07D805"/>
    <w:rsid w:val="7ABED164"/>
    <w:rsid w:val="7AEA942D"/>
    <w:rsid w:val="7B097852"/>
    <w:rsid w:val="7BB7D5BC"/>
    <w:rsid w:val="7BBFDD4F"/>
    <w:rsid w:val="7C6D2B2D"/>
    <w:rsid w:val="7D098920"/>
    <w:rsid w:val="7E11CF1C"/>
    <w:rsid w:val="7E310C9A"/>
    <w:rsid w:val="7E36FCC8"/>
    <w:rsid w:val="7E82C493"/>
    <w:rsid w:val="7F001ECE"/>
    <w:rsid w:val="7FD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A28746E0-B1B6-4EF0-BBE8-C1B8400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4DFD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WWOutlineListStyle1" w:customStyle="1">
    <w:name w:val="WW_OutlineListStyle_1"/>
    <w:basedOn w:val="NoList"/>
    <w:pPr>
      <w:numPr>
        <w:numId w:val="1"/>
      </w:numPr>
    </w:pPr>
  </w:style>
  <w:style w:type="character" w:styleId="Heading1Char" w:customStyle="1">
    <w:name w:val="Heading 1 Char"/>
    <w:rPr>
      <w:b/>
      <w:color w:val="104F75"/>
      <w:sz w:val="36"/>
      <w:szCs w:val="24"/>
    </w:rPr>
  </w:style>
  <w:style w:type="character" w:styleId="Heading2Char" w:customStyle="1">
    <w:name w:val="Heading 2 Char"/>
    <w:rPr>
      <w:b/>
      <w:color w:val="104F75"/>
      <w:sz w:val="32"/>
      <w:szCs w:val="32"/>
    </w:rPr>
  </w:style>
  <w:style w:type="character" w:styleId="Heading3Char" w:customStyle="1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uiPriority w:val="99"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TitleText" w:customStyle="1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styleId="TitleTextChar" w:customStyle="1">
    <w:name w:val="TitleText Char"/>
    <w:rPr>
      <w:rFonts w:cs="Arial"/>
      <w:b/>
      <w:color w:val="104F75"/>
      <w:sz w:val="92"/>
      <w:szCs w:val="92"/>
    </w:rPr>
  </w:style>
  <w:style w:type="paragraph" w:styleId="SubtitleText" w:customStyle="1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styleId="SubtitleTextChar" w:customStyle="1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styleId="CopyrightBox" w:customStyle="1">
    <w:name w:val="CopyrightBox"/>
    <w:basedOn w:val="Normal"/>
  </w:style>
  <w:style w:type="character" w:styleId="CopyrightBoxChar" w:customStyle="1">
    <w:name w:val="CopyrightBox Char"/>
    <w:rPr>
      <w:color w:val="0D0D0D"/>
      <w:sz w:val="24"/>
      <w:szCs w:val="24"/>
    </w:rPr>
  </w:style>
  <w:style w:type="paragraph" w:styleId="CopyrightSpacing" w:customStyle="1">
    <w:name w:val="CopyrightSpacing"/>
    <w:basedOn w:val="Normal"/>
    <w:pPr>
      <w:spacing w:before="6000" w:after="120"/>
    </w:pPr>
  </w:style>
  <w:style w:type="character" w:styleId="CopyrightSpacingChar" w:customStyle="1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styleId="TitleChar" w:customStyle="1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styleId="Heading4Char" w:customStyle="1">
    <w:name w:val="Heading 4 Char"/>
    <w:rPr>
      <w:b/>
      <w:bCs/>
      <w:color w:val="104F75"/>
      <w:sz w:val="24"/>
      <w:szCs w:val="28"/>
    </w:rPr>
  </w:style>
  <w:style w:type="character" w:styleId="Heading5Char" w:customStyle="1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styleId="Heading6Char" w:customStyle="1">
    <w:name w:val="Heading 6 Char"/>
    <w:rPr>
      <w:rFonts w:ascii="Calibri" w:hAnsi="Calibri"/>
      <w:b/>
      <w:bCs/>
      <w:color w:val="0D0D0D"/>
      <w:sz w:val="24"/>
      <w:szCs w:val="22"/>
    </w:rPr>
  </w:style>
  <w:style w:type="character" w:styleId="Heading7Char" w:customStyle="1">
    <w:name w:val="Heading 7 Char"/>
    <w:rPr>
      <w:rFonts w:ascii="Calibri" w:hAnsi="Calibri"/>
      <w:color w:val="0D0D0D"/>
      <w:sz w:val="24"/>
      <w:szCs w:val="24"/>
    </w:rPr>
  </w:style>
  <w:style w:type="character" w:styleId="Heading8Char" w:customStyle="1">
    <w:name w:val="Heading 8 Char"/>
    <w:rPr>
      <w:rFonts w:ascii="Calibri" w:hAnsi="Calibri"/>
      <w:i/>
      <w:iCs/>
      <w:color w:val="0D0D0D"/>
      <w:sz w:val="24"/>
      <w:szCs w:val="24"/>
    </w:rPr>
  </w:style>
  <w:style w:type="character" w:styleId="Heading9Char" w:customStyle="1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styleId="BodyTextChar" w:customStyle="1">
    <w:name w:val="Body Text Char"/>
    <w:basedOn w:val="DefaultParagraphFont"/>
    <w:rPr>
      <w:color w:val="0D0D0D"/>
      <w:sz w:val="24"/>
      <w:szCs w:val="24"/>
    </w:rPr>
  </w:style>
  <w:style w:type="paragraph" w:styleId="TableHeader" w:customStyle="1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paragraph" w:styleId="TableRow" w:customStyle="1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styleId="TableRowChar" w:customStyle="1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RGB" w:customStyle="1">
    <w:name w:val="RGB"/>
    <w:basedOn w:val="DefaultParagraphFont"/>
    <w:rPr>
      <w:b/>
      <w:bCs/>
      <w:sz w:val="20"/>
    </w:rPr>
  </w:style>
  <w:style w:type="paragraph" w:styleId="ColouredBoxHeadline" w:customStyle="1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styleId="RGBValues" w:customStyle="1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</w:rPr>
  </w:style>
  <w:style w:type="paragraph" w:styleId="Centredembed" w:customStyle="1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styleId="DateChar" w:customStyle="1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styleId="SourceChar" w:customStyle="1">
    <w:name w:val="Source Char"/>
    <w:basedOn w:val="DefaultParagraphFont"/>
  </w:style>
  <w:style w:type="paragraph" w:styleId="Source" w:customStyle="1">
    <w:name w:val="Source"/>
    <w:basedOn w:val="Normal"/>
    <w:pPr>
      <w:jc w:val="right"/>
    </w:pPr>
    <w:rPr>
      <w:sz w:val="20"/>
      <w:szCs w:val="20"/>
    </w:rPr>
  </w:style>
  <w:style w:type="paragraph" w:styleId="DfESOutNumbered1" w:customStyle="1">
    <w:name w:val="DfESOutNumbered1"/>
    <w:basedOn w:val="Normal"/>
    <w:pPr>
      <w:numPr>
        <w:numId w:val="3"/>
      </w:numPr>
    </w:pPr>
  </w:style>
  <w:style w:type="character" w:styleId="DfESOutNumbered1Char" w:customStyle="1">
    <w:name w:val="DfESOutNumbered1 Char"/>
    <w:rPr>
      <w:sz w:val="24"/>
      <w:szCs w:val="24"/>
    </w:rPr>
  </w:style>
  <w:style w:type="paragraph" w:styleId="TableRowRight" w:customStyle="1">
    <w:name w:val="TableRowRight"/>
    <w:basedOn w:val="TableRow"/>
    <w:pPr>
      <w:jc w:val="right"/>
    </w:pPr>
    <w:rPr>
      <w:szCs w:val="20"/>
    </w:rPr>
  </w:style>
  <w:style w:type="paragraph" w:styleId="TableRowCentered" w:customStyle="1">
    <w:name w:val="TableRowCentered"/>
    <w:basedOn w:val="TableRow"/>
    <w:pPr>
      <w:jc w:val="center"/>
    </w:pPr>
    <w:rPr>
      <w:szCs w:val="20"/>
    </w:rPr>
  </w:style>
  <w:style w:type="paragraph" w:styleId="SocialMedia" w:customStyle="1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styleId="Reference" w:customStyle="1">
    <w:name w:val="Reference"/>
    <w:basedOn w:val="Normal"/>
    <w:pPr>
      <w:tabs>
        <w:tab w:val="left" w:pos="1701"/>
      </w:tabs>
      <w:spacing w:before="240"/>
    </w:pPr>
  </w:style>
  <w:style w:type="character" w:styleId="SocialMediaChar" w:customStyle="1">
    <w:name w:val="SocialMedia Char"/>
    <w:basedOn w:val="DefaultParagraphFont"/>
    <w:rPr>
      <w:sz w:val="24"/>
      <w:szCs w:val="24"/>
    </w:rPr>
  </w:style>
  <w:style w:type="paragraph" w:styleId="Licence" w:customStyle="1">
    <w:name w:val="Licence"/>
    <w:basedOn w:val="Normal"/>
    <w:pPr>
      <w:tabs>
        <w:tab w:val="left" w:pos="1418"/>
      </w:tabs>
      <w:ind w:left="284"/>
      <w:contextualSpacing/>
    </w:pPr>
  </w:style>
  <w:style w:type="character" w:styleId="ReferenceChar" w:customStyle="1">
    <w:name w:val="Reference Char"/>
    <w:basedOn w:val="DefaultParagraphFont"/>
    <w:rPr>
      <w:color w:val="0D0D0D"/>
      <w:sz w:val="24"/>
      <w:szCs w:val="24"/>
    </w:rPr>
  </w:style>
  <w:style w:type="paragraph" w:styleId="LicenceIntro" w:customStyle="1">
    <w:name w:val="LicenceIntro"/>
    <w:basedOn w:val="Licence"/>
    <w:pPr>
      <w:spacing w:after="0"/>
      <w:ind w:left="0"/>
    </w:pPr>
    <w:rPr>
      <w:szCs w:val="20"/>
    </w:rPr>
  </w:style>
  <w:style w:type="character" w:styleId="LicenceChar" w:customStyle="1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styleId="Logos" w:customStyle="1">
    <w:name w:val="Logos"/>
    <w:basedOn w:val="Normal"/>
    <w:pPr>
      <w:pageBreakBefore/>
      <w:widowControl w:val="0"/>
    </w:pPr>
  </w:style>
  <w:style w:type="character" w:styleId="LogosChar" w:customStyle="1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styleId="DfESOutNumbered" w:customStyle="1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DfESOutNumberedChar" w:customStyle="1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styleId="DeptBullets" w:customStyle="1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DeptBulletsChar" w:customStyle="1">
    <w:name w:val="DeptBullets Char"/>
    <w:basedOn w:val="LogosChar"/>
    <w:rPr>
      <w:color w:val="0D0D0D"/>
      <w:sz w:val="24"/>
      <w:szCs w:val="24"/>
      <w:lang w:eastAsia="en-US"/>
    </w:rPr>
  </w:style>
  <w:style w:type="paragraph" w:styleId="TOCHeader" w:customStyle="1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styleId="TOCHeaderChar" w:customStyle="1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styleId="BodyTextIndentChar" w:customStyle="1">
    <w:name w:val="Body Text Indent Char"/>
    <w:basedOn w:val="DefaultParagraphFont"/>
    <w:rPr>
      <w:sz w:val="24"/>
      <w:lang w:eastAsia="en-US"/>
    </w:rPr>
  </w:style>
  <w:style w:type="paragraph" w:styleId="DeptOutNumbered" w:customStyle="1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styleId="Heading" w:customStyle="1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styleId="MinuteTop" w:customStyle="1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styleId="Numbered" w:customStyle="1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styleId="PersonalComposeStyle" w:customStyle="1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PersonalReplyStyle" w:customStyle="1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Sub-Heading" w:customStyle="1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styleId="SubtitleChar" w:customStyle="1">
    <w:name w:val="Subtitle Char"/>
    <w:basedOn w:val="DefaultParagraphFont"/>
    <w:rPr>
      <w:i/>
      <w:sz w:val="24"/>
      <w:lang w:eastAsia="en-US"/>
    </w:rPr>
  </w:style>
  <w:style w:type="paragraph" w:styleId="DfESBullets" w:customStyle="1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 w:customStyle="1">
    <w:name w:val="Unresolved Mention"/>
    <w:basedOn w:val="DefaultParagraphFont"/>
    <w:rPr>
      <w:color w:val="605E5C"/>
      <w:shd w:val="clear" w:color="auto" w:fill="E1DFDD"/>
    </w:rPr>
  </w:style>
  <w:style w:type="numbering" w:styleId="WWOutlineListStyle" w:customStyle="1">
    <w:name w:val="WW_OutlineListStyle"/>
    <w:basedOn w:val="NoList"/>
    <w:pPr>
      <w:numPr>
        <w:numId w:val="2"/>
      </w:numPr>
    </w:pPr>
  </w:style>
  <w:style w:type="numbering" w:styleId="LFO3" w:customStyle="1">
    <w:name w:val="LFO3"/>
    <w:basedOn w:val="NoList"/>
    <w:pPr>
      <w:numPr>
        <w:numId w:val="3"/>
      </w:numPr>
    </w:pPr>
  </w:style>
  <w:style w:type="numbering" w:styleId="LFO4" w:customStyle="1">
    <w:name w:val="LFO4"/>
    <w:basedOn w:val="NoList"/>
    <w:pPr>
      <w:numPr>
        <w:numId w:val="4"/>
      </w:numPr>
    </w:pPr>
  </w:style>
  <w:style w:type="numbering" w:styleId="LFO6" w:customStyle="1">
    <w:name w:val="LFO6"/>
    <w:basedOn w:val="NoList"/>
    <w:pPr>
      <w:numPr>
        <w:numId w:val="5"/>
      </w:numPr>
    </w:pPr>
  </w:style>
  <w:style w:type="numbering" w:styleId="LFO9" w:customStyle="1">
    <w:name w:val="LFO9"/>
    <w:basedOn w:val="NoList"/>
    <w:pPr>
      <w:numPr>
        <w:numId w:val="6"/>
      </w:numPr>
    </w:pPr>
  </w:style>
  <w:style w:type="numbering" w:styleId="LFO10" w:customStyle="1">
    <w:name w:val="LFO10"/>
    <w:basedOn w:val="NoList"/>
    <w:pPr>
      <w:numPr>
        <w:numId w:val="7"/>
      </w:numPr>
    </w:pPr>
  </w:style>
  <w:style w:type="numbering" w:styleId="LFO25" w:customStyle="1">
    <w:name w:val="LFO25"/>
    <w:basedOn w:val="NoList"/>
    <w:pPr>
      <w:numPr>
        <w:numId w:val="8"/>
      </w:numPr>
    </w:pPr>
  </w:style>
  <w:style w:type="numbering" w:styleId="LFO28" w:customStyle="1">
    <w:name w:val="LFO28"/>
    <w:basedOn w:val="NoList"/>
    <w:pPr>
      <w:numPr>
        <w:numId w:val="9"/>
      </w:numPr>
    </w:pPr>
  </w:style>
  <w:style w:type="numbering" w:styleId="LFO30" w:customStyle="1">
    <w:name w:val="LFO30"/>
    <w:basedOn w:val="NoList"/>
    <w:pPr>
      <w:numPr>
        <w:numId w:val="10"/>
      </w:numPr>
    </w:pPr>
  </w:style>
  <w:style w:type="numbering" w:styleId="LFO34" w:customStyle="1">
    <w:name w:val="LFO34"/>
    <w:basedOn w:val="NoList"/>
    <w:pPr>
      <w:numPr>
        <w:numId w:val="11"/>
      </w:numPr>
    </w:pPr>
  </w:style>
  <w:style w:type="numbering" w:styleId="LFO36" w:customStyle="1">
    <w:name w:val="LFO36"/>
    <w:basedOn w:val="NoList"/>
    <w:pPr>
      <w:numPr>
        <w:numId w:val="12"/>
      </w:numPr>
    </w:pPr>
  </w:style>
  <w:style w:type="character" w:styleId="normaltextrun" w:customStyle="1">
    <w:name w:val="normaltextrun"/>
    <w:basedOn w:val="DefaultParagraphFont"/>
    <w:rsid w:val="00231624"/>
  </w:style>
  <w:style w:type="character" w:styleId="eop" w:customStyle="1">
    <w:name w:val="eop"/>
    <w:basedOn w:val="DefaultParagraphFont"/>
    <w:rsid w:val="00231624"/>
  </w:style>
  <w:style w:type="paragraph" w:styleId="paragraph" w:customStyle="1">
    <w:name w:val="paragraph"/>
    <w:basedOn w:val="Normal"/>
    <w:rsid w:val="00BB6D98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styleId="Mention" w:customStyle="1">
    <w:name w:val="Mention"/>
    <w:basedOn w:val="DefaultParagraphFont"/>
    <w:uiPriority w:val="99"/>
    <w:unhideWhenUsed/>
    <w:rsid w:val="001E0DE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9D014B"/>
    <w:pPr>
      <w:suppressAutoHyphens/>
    </w:pPr>
    <w:rPr>
      <w:color w:val="0D0D0D"/>
      <w:sz w:val="24"/>
      <w:szCs w:val="24"/>
    </w:rPr>
  </w:style>
  <w:style w:type="table" w:styleId="TableGrid">
    <w:name w:val="Table Grid"/>
    <w:basedOn w:val="TableNormal"/>
    <w:uiPriority w:val="3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ssets.publishing.service.gov.uk/government/uploads/system/uploads/attachment_data/file/897806/Maths_guidance_KS_1_and_2.pdf" TargetMode="External" Id="rId13" /><Relationship Type="http://schemas.openxmlformats.org/officeDocument/2006/relationships/hyperlink" Target="https://thebrilliantclub.org/the-scholars-programme/for-schools/the-programm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publications/school-attendance/framework-for-securing-full-attendance-actions-for-schools-and-local-authoritie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educationendowmentfoundation.org.uk/evidence-summaries/teaching-learning-toolkit/phonics/" TargetMode="External" Id="rId12" /><Relationship Type="http://schemas.openxmlformats.org/officeDocument/2006/relationships/hyperlink" Target="https://educationendowmentfoundation.org.uk/evidence-summaries/teaching-learning-toolkit/small-group-tuition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educationendowmentfoundation.org.uk/education-evidence/teaching-learning-toolkit/one-to-one-tuition" TargetMode="External" Id="rId16" /><Relationship Type="http://schemas.openxmlformats.org/officeDocument/2006/relationships/hyperlink" Target="https://educationendowmentfoundation.org.uk/education-evidence/teaching-learning-toolkit/behaviour-interventions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educationendowmentfoundation.org.uk/evidence-summaries/teaching-learning-toolkit/phonics/" TargetMode="External" Id="rId15" /><Relationship Type="http://schemas.openxmlformats.org/officeDocument/2006/relationships/footer" Target="footer1.xml" Id="rId23" /><Relationship Type="http://schemas.openxmlformats.org/officeDocument/2006/relationships/hyperlink" Target="https://educationendowmentfoundation.org.uk/tools/assessing-and-monitoring-pupil-progress/testing/standardised-tests/" TargetMode="External" Id="rId10" /><Relationship Type="http://schemas.openxmlformats.org/officeDocument/2006/relationships/hyperlink" Target="https://educationendowmentfoundation.org.uk/education-evidence/teaching-learning-toolkit/parental-engagement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ducationendowmentfoundation.org.uk/public/files/Publications/SEL/EEF_Social_and_Emotional_Learning.pdf" TargetMode="External" Id="rId14" /><Relationship Type="http://schemas.openxmlformats.org/officeDocument/2006/relationships/hyperlink" Target="https://educationendowmentfoundation.org.uk/education-evidence/teaching-learning-toolkit/behaviour-interventions" TargetMode="External" Id="rId22" /><Relationship Type="http://schemas.openxmlformats.org/officeDocument/2006/relationships/hyperlink" Target="https://www.gov.uk/government/publications/choosing-a-phonics-teaching-programme" TargetMode="External" Id="Rf12a052d214f45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414A2043AB14CAA6C9B5D94FEA118" ma:contentTypeVersion="6" ma:contentTypeDescription="Create a new document." ma:contentTypeScope="" ma:versionID="ff0182268737a4789bdab808cc7399ca">
  <xsd:schema xmlns:xsd="http://www.w3.org/2001/XMLSchema" xmlns:xs="http://www.w3.org/2001/XMLSchema" xmlns:p="http://schemas.microsoft.com/office/2006/metadata/properties" xmlns:ns2="f65edd37-60b1-4ef0-a8b9-99e1686f0dda" xmlns:ns3="fc4813a7-6522-4e15-89a2-8c9508ac84b8" targetNamespace="http://schemas.microsoft.com/office/2006/metadata/properties" ma:root="true" ma:fieldsID="e7cbbb244b7ced3a35aeced334cdcb4f" ns2:_="" ns3:_="">
    <xsd:import namespace="f65edd37-60b1-4ef0-a8b9-99e1686f0dda"/>
    <xsd:import namespace="fc4813a7-6522-4e15-89a2-8c9508ac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dd37-60b1-4ef0-a8b9-99e1686f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13a7-6522-4e15-89a2-8c9508ac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AAE95-9E09-45B2-A57B-72C2C83BC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D44B0-59DF-4C17-8142-21C7794E8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edd37-60b1-4ef0-a8b9-99e1686f0dda"/>
    <ds:schemaRef ds:uri="fc4813a7-6522-4e15-89a2-8c9508ac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E3381-3D29-432E-8356-9A75E7F3FFD4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65edd37-60b1-4ef0-a8b9-99e1686f0dda"/>
    <ds:schemaRef ds:uri="http://schemas.microsoft.com/office/infopath/2007/PartnerControls"/>
    <ds:schemaRef ds:uri="fc4813a7-6522-4e15-89a2-8c9508ac84b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DfE external document template</dc:title>
  <dc:subject/>
  <dc:creator>Publishing.TEAM@education.gsi.gov.uk</dc:creator>
  <keywords/>
  <dc:description>Master-ET-v3.8</dc:description>
  <lastModifiedBy>Ms R Rippon</lastModifiedBy>
  <revision>21</revision>
  <lastPrinted>2014-09-17T13:26:00.0000000Z</lastPrinted>
  <dcterms:created xsi:type="dcterms:W3CDTF">2022-06-10T11:25:00.0000000Z</dcterms:created>
  <dcterms:modified xsi:type="dcterms:W3CDTF">2022-09-22T08:53:45.4214051Z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0x010100325414A2043AB14CAA6C9B5D94FEA118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